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3A833285" w14:textId="0913ECE8" w:rsidR="00A57609" w:rsidRDefault="004A0A9F">
          <w:pPr>
            <w:pStyle w:val="TOC1"/>
            <w:tabs>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65041146" w:history="1">
            <w:r w:rsidR="00A57609" w:rsidRPr="00763EFB">
              <w:rPr>
                <w:rStyle w:val="Hyperlink"/>
                <w:noProof/>
              </w:rPr>
              <w:t>Introduction</w:t>
            </w:r>
            <w:r w:rsidR="00A57609">
              <w:rPr>
                <w:noProof/>
                <w:webHidden/>
              </w:rPr>
              <w:tab/>
            </w:r>
            <w:r w:rsidR="00A57609">
              <w:rPr>
                <w:noProof/>
                <w:webHidden/>
              </w:rPr>
              <w:fldChar w:fldCharType="begin"/>
            </w:r>
            <w:r w:rsidR="00A57609">
              <w:rPr>
                <w:noProof/>
                <w:webHidden/>
              </w:rPr>
              <w:instrText xml:space="preserve"> PAGEREF _Toc165041146 \h </w:instrText>
            </w:r>
            <w:r w:rsidR="00A57609">
              <w:rPr>
                <w:noProof/>
                <w:webHidden/>
              </w:rPr>
            </w:r>
            <w:r w:rsidR="00A57609">
              <w:rPr>
                <w:noProof/>
                <w:webHidden/>
              </w:rPr>
              <w:fldChar w:fldCharType="separate"/>
            </w:r>
            <w:r w:rsidR="00A57609">
              <w:rPr>
                <w:noProof/>
                <w:webHidden/>
              </w:rPr>
              <w:t>1</w:t>
            </w:r>
            <w:r w:rsidR="00A57609">
              <w:rPr>
                <w:noProof/>
                <w:webHidden/>
              </w:rPr>
              <w:fldChar w:fldCharType="end"/>
            </w:r>
          </w:hyperlink>
        </w:p>
        <w:p w14:paraId="5635EA83" w14:textId="18960F5D" w:rsidR="00A57609" w:rsidRDefault="00A57609">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7" w:history="1">
            <w:r w:rsidRPr="00763EFB">
              <w:rPr>
                <w:rStyle w:val="Hyperlink"/>
                <w:noProof/>
              </w:rPr>
              <w:t>Terms and Conditions</w:t>
            </w:r>
            <w:r>
              <w:rPr>
                <w:noProof/>
                <w:webHidden/>
              </w:rPr>
              <w:tab/>
            </w:r>
            <w:r>
              <w:rPr>
                <w:noProof/>
                <w:webHidden/>
              </w:rPr>
              <w:fldChar w:fldCharType="begin"/>
            </w:r>
            <w:r>
              <w:rPr>
                <w:noProof/>
                <w:webHidden/>
              </w:rPr>
              <w:instrText xml:space="preserve"> PAGEREF _Toc165041147 \h </w:instrText>
            </w:r>
            <w:r>
              <w:rPr>
                <w:noProof/>
                <w:webHidden/>
              </w:rPr>
            </w:r>
            <w:r>
              <w:rPr>
                <w:noProof/>
                <w:webHidden/>
              </w:rPr>
              <w:fldChar w:fldCharType="separate"/>
            </w:r>
            <w:r>
              <w:rPr>
                <w:noProof/>
                <w:webHidden/>
              </w:rPr>
              <w:t>2</w:t>
            </w:r>
            <w:r>
              <w:rPr>
                <w:noProof/>
                <w:webHidden/>
              </w:rPr>
              <w:fldChar w:fldCharType="end"/>
            </w:r>
          </w:hyperlink>
        </w:p>
        <w:p w14:paraId="6D728764" w14:textId="69BA751C" w:rsidR="00A57609" w:rsidRDefault="00A57609">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8" w:history="1">
            <w:r w:rsidRPr="00763EFB">
              <w:rPr>
                <w:rStyle w:val="Hyperlink"/>
                <w:noProof/>
              </w:rPr>
              <w:t>Process</w:t>
            </w:r>
            <w:r>
              <w:rPr>
                <w:noProof/>
                <w:webHidden/>
              </w:rPr>
              <w:tab/>
            </w:r>
            <w:r>
              <w:rPr>
                <w:noProof/>
                <w:webHidden/>
              </w:rPr>
              <w:fldChar w:fldCharType="begin"/>
            </w:r>
            <w:r>
              <w:rPr>
                <w:noProof/>
                <w:webHidden/>
              </w:rPr>
              <w:instrText xml:space="preserve"> PAGEREF _Toc165041148 \h </w:instrText>
            </w:r>
            <w:r>
              <w:rPr>
                <w:noProof/>
                <w:webHidden/>
              </w:rPr>
            </w:r>
            <w:r>
              <w:rPr>
                <w:noProof/>
                <w:webHidden/>
              </w:rPr>
              <w:fldChar w:fldCharType="separate"/>
            </w:r>
            <w:r>
              <w:rPr>
                <w:noProof/>
                <w:webHidden/>
              </w:rPr>
              <w:t>3</w:t>
            </w:r>
            <w:r>
              <w:rPr>
                <w:noProof/>
                <w:webHidden/>
              </w:rPr>
              <w:fldChar w:fldCharType="end"/>
            </w:r>
          </w:hyperlink>
        </w:p>
        <w:p w14:paraId="5DC1056E" w14:textId="39F86754" w:rsidR="00A57609" w:rsidRDefault="00A57609">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9" w:history="1">
            <w:r w:rsidRPr="00763EFB">
              <w:rPr>
                <w:rStyle w:val="Hyperlink"/>
                <w:noProof/>
              </w:rPr>
              <w:t>Grants Available</w:t>
            </w:r>
            <w:r>
              <w:rPr>
                <w:noProof/>
                <w:webHidden/>
              </w:rPr>
              <w:tab/>
            </w:r>
            <w:r>
              <w:rPr>
                <w:noProof/>
                <w:webHidden/>
              </w:rPr>
              <w:fldChar w:fldCharType="begin"/>
            </w:r>
            <w:r>
              <w:rPr>
                <w:noProof/>
                <w:webHidden/>
              </w:rPr>
              <w:instrText xml:space="preserve"> PAGEREF _Toc165041149 \h </w:instrText>
            </w:r>
            <w:r>
              <w:rPr>
                <w:noProof/>
                <w:webHidden/>
              </w:rPr>
            </w:r>
            <w:r>
              <w:rPr>
                <w:noProof/>
                <w:webHidden/>
              </w:rPr>
              <w:fldChar w:fldCharType="separate"/>
            </w:r>
            <w:r>
              <w:rPr>
                <w:noProof/>
                <w:webHidden/>
              </w:rPr>
              <w:t>4</w:t>
            </w:r>
            <w:r>
              <w:rPr>
                <w:noProof/>
                <w:webHidden/>
              </w:rPr>
              <w:fldChar w:fldCharType="end"/>
            </w:r>
          </w:hyperlink>
        </w:p>
        <w:p w14:paraId="50FA41C6" w14:textId="42C16170"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0" w:history="1">
            <w:r w:rsidRPr="00763EFB">
              <w:rPr>
                <w:rStyle w:val="Hyperlink"/>
                <w:noProof/>
              </w:rPr>
              <w:t>Community Development Grants</w:t>
            </w:r>
            <w:r>
              <w:rPr>
                <w:noProof/>
                <w:webHidden/>
              </w:rPr>
              <w:tab/>
            </w:r>
            <w:r>
              <w:rPr>
                <w:noProof/>
                <w:webHidden/>
              </w:rPr>
              <w:fldChar w:fldCharType="begin"/>
            </w:r>
            <w:r>
              <w:rPr>
                <w:noProof/>
                <w:webHidden/>
              </w:rPr>
              <w:instrText xml:space="preserve"> PAGEREF _Toc165041150 \h </w:instrText>
            </w:r>
            <w:r>
              <w:rPr>
                <w:noProof/>
                <w:webHidden/>
              </w:rPr>
            </w:r>
            <w:r>
              <w:rPr>
                <w:noProof/>
                <w:webHidden/>
              </w:rPr>
              <w:fldChar w:fldCharType="separate"/>
            </w:r>
            <w:r>
              <w:rPr>
                <w:noProof/>
                <w:webHidden/>
              </w:rPr>
              <w:t>4</w:t>
            </w:r>
            <w:r>
              <w:rPr>
                <w:noProof/>
                <w:webHidden/>
              </w:rPr>
              <w:fldChar w:fldCharType="end"/>
            </w:r>
          </w:hyperlink>
        </w:p>
        <w:p w14:paraId="2BBA2997" w14:textId="666D7558"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1" w:history="1">
            <w:r w:rsidRPr="00763EFB">
              <w:rPr>
                <w:rStyle w:val="Hyperlink"/>
                <w:noProof/>
              </w:rPr>
              <w:t>Capital Grants</w:t>
            </w:r>
            <w:r>
              <w:rPr>
                <w:noProof/>
                <w:webHidden/>
              </w:rPr>
              <w:tab/>
            </w:r>
            <w:r>
              <w:rPr>
                <w:noProof/>
                <w:webHidden/>
              </w:rPr>
              <w:fldChar w:fldCharType="begin"/>
            </w:r>
            <w:r>
              <w:rPr>
                <w:noProof/>
                <w:webHidden/>
              </w:rPr>
              <w:instrText xml:space="preserve"> PAGEREF _Toc165041151 \h </w:instrText>
            </w:r>
            <w:r>
              <w:rPr>
                <w:noProof/>
                <w:webHidden/>
              </w:rPr>
            </w:r>
            <w:r>
              <w:rPr>
                <w:noProof/>
                <w:webHidden/>
              </w:rPr>
              <w:fldChar w:fldCharType="separate"/>
            </w:r>
            <w:r>
              <w:rPr>
                <w:noProof/>
                <w:webHidden/>
              </w:rPr>
              <w:t>5</w:t>
            </w:r>
            <w:r>
              <w:rPr>
                <w:noProof/>
                <w:webHidden/>
              </w:rPr>
              <w:fldChar w:fldCharType="end"/>
            </w:r>
          </w:hyperlink>
        </w:p>
        <w:p w14:paraId="1FDA4579" w14:textId="2B5425B4"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2" w:history="1">
            <w:r w:rsidRPr="00763EFB">
              <w:rPr>
                <w:rStyle w:val="Hyperlink"/>
                <w:noProof/>
              </w:rPr>
              <w:t>Revenue Grants</w:t>
            </w:r>
            <w:r>
              <w:rPr>
                <w:noProof/>
                <w:webHidden/>
              </w:rPr>
              <w:tab/>
            </w:r>
            <w:r>
              <w:rPr>
                <w:noProof/>
                <w:webHidden/>
              </w:rPr>
              <w:fldChar w:fldCharType="begin"/>
            </w:r>
            <w:r>
              <w:rPr>
                <w:noProof/>
                <w:webHidden/>
              </w:rPr>
              <w:instrText xml:space="preserve"> PAGEREF _Toc165041152 \h </w:instrText>
            </w:r>
            <w:r>
              <w:rPr>
                <w:noProof/>
                <w:webHidden/>
              </w:rPr>
            </w:r>
            <w:r>
              <w:rPr>
                <w:noProof/>
                <w:webHidden/>
              </w:rPr>
              <w:fldChar w:fldCharType="separate"/>
            </w:r>
            <w:r>
              <w:rPr>
                <w:noProof/>
                <w:webHidden/>
              </w:rPr>
              <w:t>6</w:t>
            </w:r>
            <w:r>
              <w:rPr>
                <w:noProof/>
                <w:webHidden/>
              </w:rPr>
              <w:fldChar w:fldCharType="end"/>
            </w:r>
          </w:hyperlink>
        </w:p>
        <w:p w14:paraId="13A7EE9A" w14:textId="2F4AB79F"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3" w:history="1">
            <w:r w:rsidRPr="00763EFB">
              <w:rPr>
                <w:rStyle w:val="Hyperlink"/>
                <w:noProof/>
              </w:rPr>
              <w:t>Section 106</w:t>
            </w:r>
            <w:r>
              <w:rPr>
                <w:noProof/>
                <w:webHidden/>
              </w:rPr>
              <w:tab/>
            </w:r>
            <w:r>
              <w:rPr>
                <w:noProof/>
                <w:webHidden/>
              </w:rPr>
              <w:fldChar w:fldCharType="begin"/>
            </w:r>
            <w:r>
              <w:rPr>
                <w:noProof/>
                <w:webHidden/>
              </w:rPr>
              <w:instrText xml:space="preserve"> PAGEREF _Toc165041153 \h </w:instrText>
            </w:r>
            <w:r>
              <w:rPr>
                <w:noProof/>
                <w:webHidden/>
              </w:rPr>
            </w:r>
            <w:r>
              <w:rPr>
                <w:noProof/>
                <w:webHidden/>
              </w:rPr>
              <w:fldChar w:fldCharType="separate"/>
            </w:r>
            <w:r>
              <w:rPr>
                <w:noProof/>
                <w:webHidden/>
              </w:rPr>
              <w:t>6</w:t>
            </w:r>
            <w:r>
              <w:rPr>
                <w:noProof/>
                <w:webHidden/>
              </w:rPr>
              <w:fldChar w:fldCharType="end"/>
            </w:r>
          </w:hyperlink>
        </w:p>
        <w:p w14:paraId="2C7953E7" w14:textId="4B2D51EA"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4" w:history="1">
            <w:r w:rsidRPr="00763EFB">
              <w:rPr>
                <w:rStyle w:val="Hyperlink"/>
                <w:noProof/>
              </w:rPr>
              <w:t>Community Energy and Environmental Funding</w:t>
            </w:r>
            <w:r>
              <w:rPr>
                <w:noProof/>
                <w:webHidden/>
              </w:rPr>
              <w:tab/>
            </w:r>
            <w:r>
              <w:rPr>
                <w:noProof/>
                <w:webHidden/>
              </w:rPr>
              <w:fldChar w:fldCharType="begin"/>
            </w:r>
            <w:r>
              <w:rPr>
                <w:noProof/>
                <w:webHidden/>
              </w:rPr>
              <w:instrText xml:space="preserve"> PAGEREF _Toc165041154 \h </w:instrText>
            </w:r>
            <w:r>
              <w:rPr>
                <w:noProof/>
                <w:webHidden/>
              </w:rPr>
            </w:r>
            <w:r>
              <w:rPr>
                <w:noProof/>
                <w:webHidden/>
              </w:rPr>
              <w:fldChar w:fldCharType="separate"/>
            </w:r>
            <w:r>
              <w:rPr>
                <w:noProof/>
                <w:webHidden/>
              </w:rPr>
              <w:t>7</w:t>
            </w:r>
            <w:r>
              <w:rPr>
                <w:noProof/>
                <w:webHidden/>
              </w:rPr>
              <w:fldChar w:fldCharType="end"/>
            </w:r>
          </w:hyperlink>
        </w:p>
        <w:p w14:paraId="4594831C" w14:textId="21DBB8EA"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5" w:history="1">
            <w:r w:rsidRPr="00763EFB">
              <w:rPr>
                <w:rStyle w:val="Hyperlink"/>
                <w:noProof/>
              </w:rPr>
              <w:t>Locality Awards</w:t>
            </w:r>
            <w:r>
              <w:rPr>
                <w:noProof/>
                <w:webHidden/>
              </w:rPr>
              <w:tab/>
            </w:r>
            <w:r>
              <w:rPr>
                <w:noProof/>
                <w:webHidden/>
              </w:rPr>
              <w:fldChar w:fldCharType="begin"/>
            </w:r>
            <w:r>
              <w:rPr>
                <w:noProof/>
                <w:webHidden/>
              </w:rPr>
              <w:instrText xml:space="preserve"> PAGEREF _Toc165041155 \h </w:instrText>
            </w:r>
            <w:r>
              <w:rPr>
                <w:noProof/>
                <w:webHidden/>
              </w:rPr>
            </w:r>
            <w:r>
              <w:rPr>
                <w:noProof/>
                <w:webHidden/>
              </w:rPr>
              <w:fldChar w:fldCharType="separate"/>
            </w:r>
            <w:r>
              <w:rPr>
                <w:noProof/>
                <w:webHidden/>
              </w:rPr>
              <w:t>8</w:t>
            </w:r>
            <w:r>
              <w:rPr>
                <w:noProof/>
                <w:webHidden/>
              </w:rPr>
              <w:fldChar w:fldCharType="end"/>
            </w:r>
          </w:hyperlink>
        </w:p>
        <w:p w14:paraId="6D7699DE" w14:textId="1715CD7A"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6" w:history="1">
            <w:r w:rsidRPr="00763EFB">
              <w:rPr>
                <w:rStyle w:val="Hyperlink"/>
                <w:noProof/>
              </w:rPr>
              <w:t>One-off Grants</w:t>
            </w:r>
            <w:r>
              <w:rPr>
                <w:noProof/>
                <w:webHidden/>
              </w:rPr>
              <w:tab/>
            </w:r>
            <w:r>
              <w:rPr>
                <w:noProof/>
                <w:webHidden/>
              </w:rPr>
              <w:fldChar w:fldCharType="begin"/>
            </w:r>
            <w:r>
              <w:rPr>
                <w:noProof/>
                <w:webHidden/>
              </w:rPr>
              <w:instrText xml:space="preserve"> PAGEREF _Toc165041156 \h </w:instrText>
            </w:r>
            <w:r>
              <w:rPr>
                <w:noProof/>
                <w:webHidden/>
              </w:rPr>
            </w:r>
            <w:r>
              <w:rPr>
                <w:noProof/>
                <w:webHidden/>
              </w:rPr>
              <w:fldChar w:fldCharType="separate"/>
            </w:r>
            <w:r>
              <w:rPr>
                <w:noProof/>
                <w:webHidden/>
              </w:rPr>
              <w:t>8</w:t>
            </w:r>
            <w:r>
              <w:rPr>
                <w:noProof/>
                <w:webHidden/>
              </w:rPr>
              <w:fldChar w:fldCharType="end"/>
            </w:r>
          </w:hyperlink>
        </w:p>
        <w:p w14:paraId="79F9CB89" w14:textId="3F0A2C2C" w:rsidR="00A57609" w:rsidRDefault="00A57609">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7" w:history="1">
            <w:r w:rsidRPr="00763EFB">
              <w:rPr>
                <w:rStyle w:val="Hyperlink"/>
                <w:noProof/>
              </w:rPr>
              <w:t>External Funding</w:t>
            </w:r>
            <w:r>
              <w:rPr>
                <w:noProof/>
                <w:webHidden/>
              </w:rPr>
              <w:tab/>
            </w:r>
            <w:r>
              <w:rPr>
                <w:noProof/>
                <w:webHidden/>
              </w:rPr>
              <w:fldChar w:fldCharType="begin"/>
            </w:r>
            <w:r>
              <w:rPr>
                <w:noProof/>
                <w:webHidden/>
              </w:rPr>
              <w:instrText xml:space="preserve"> PAGEREF _Toc165041157 \h </w:instrText>
            </w:r>
            <w:r>
              <w:rPr>
                <w:noProof/>
                <w:webHidden/>
              </w:rPr>
            </w:r>
            <w:r>
              <w:rPr>
                <w:noProof/>
                <w:webHidden/>
              </w:rPr>
              <w:fldChar w:fldCharType="separate"/>
            </w:r>
            <w:r>
              <w:rPr>
                <w:noProof/>
                <w:webHidden/>
              </w:rPr>
              <w:t>8</w:t>
            </w:r>
            <w:r>
              <w:rPr>
                <w:noProof/>
                <w:webHidden/>
              </w:rPr>
              <w:fldChar w:fldCharType="end"/>
            </w:r>
          </w:hyperlink>
        </w:p>
        <w:p w14:paraId="7F024A91" w14:textId="667FFD1D" w:rsidR="00A57609" w:rsidRDefault="00A57609">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58" w:history="1">
            <w:r w:rsidRPr="00763EFB">
              <w:rPr>
                <w:rStyle w:val="Hyperlink"/>
                <w:noProof/>
              </w:rPr>
              <w:t>Contact</w:t>
            </w:r>
            <w:r>
              <w:rPr>
                <w:noProof/>
                <w:webHidden/>
              </w:rPr>
              <w:tab/>
            </w:r>
            <w:r>
              <w:rPr>
                <w:noProof/>
                <w:webHidden/>
              </w:rPr>
              <w:fldChar w:fldCharType="begin"/>
            </w:r>
            <w:r>
              <w:rPr>
                <w:noProof/>
                <w:webHidden/>
              </w:rPr>
              <w:instrText xml:space="preserve"> PAGEREF _Toc165041158 \h </w:instrText>
            </w:r>
            <w:r>
              <w:rPr>
                <w:noProof/>
                <w:webHidden/>
              </w:rPr>
            </w:r>
            <w:r>
              <w:rPr>
                <w:noProof/>
                <w:webHidden/>
              </w:rPr>
              <w:fldChar w:fldCharType="separate"/>
            </w:r>
            <w:r>
              <w:rPr>
                <w:noProof/>
                <w:webHidden/>
              </w:rPr>
              <w:t>8</w:t>
            </w:r>
            <w:r>
              <w:rPr>
                <w:noProof/>
                <w:webHidden/>
              </w:rPr>
              <w:fldChar w:fldCharType="end"/>
            </w:r>
          </w:hyperlink>
        </w:p>
        <w:p w14:paraId="04694428" w14:textId="15F38A00" w:rsidR="00392DF9" w:rsidRDefault="004A0A9F" w:rsidP="00824E5C">
          <w:pPr>
            <w:pStyle w:val="TOC1"/>
            <w:tabs>
              <w:tab w:val="right" w:leader="dot" w:pos="10456"/>
            </w:tabs>
          </w:pPr>
          <w:r>
            <w:fldChar w:fldCharType="end"/>
          </w:r>
        </w:p>
      </w:sdtContent>
    </w:sdt>
    <w:p w14:paraId="06E27330" w14:textId="1C02D7C0" w:rsidR="00D56F9A" w:rsidRPr="00596854" w:rsidRDefault="00D56F9A" w:rsidP="00596854">
      <w:pPr>
        <w:pStyle w:val="Heading1"/>
      </w:pPr>
      <w:bookmarkStart w:id="0" w:name="_Toc165041146"/>
      <w:r w:rsidRPr="00596854">
        <w:t>Introduction</w:t>
      </w:r>
      <w:bookmarkEnd w:id="0"/>
    </w:p>
    <w:p w14:paraId="02AC489D" w14:textId="77777777" w:rsidR="00D56F9A" w:rsidRDefault="00D56F9A" w:rsidP="00D56F9A">
      <w:pPr>
        <w:rPr>
          <w:b/>
          <w:bCs w:val="0"/>
          <w:sz w:val="28"/>
          <w:szCs w:val="28"/>
        </w:rPr>
      </w:pPr>
    </w:p>
    <w:p w14:paraId="375C806F" w14:textId="5AAB4425" w:rsidR="00733D82" w:rsidRPr="00733D82" w:rsidRDefault="0058099C" w:rsidP="00733D82">
      <w:r>
        <w:t>Babergh and Mid Suffolk District Councils offer</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 Babergh</w:t>
      </w:r>
      <w:r w:rsidR="00733D82">
        <w:t xml:space="preserve"> and/or </w:t>
      </w:r>
      <w:r w:rsidR="00733D82" w:rsidRPr="00733D82">
        <w:t>Mid Suffolk.  Projects need to be able to demonstrate that they contribute to one or more of our following strategies and have demonstrable community benefit</w:t>
      </w:r>
      <w:r w:rsidR="00017EE9">
        <w:t xml:space="preserve">. </w:t>
      </w:r>
      <w:hyperlink r:id="rId11" w:history="1">
        <w:r w:rsidR="00017EE9" w:rsidRPr="00017EE9">
          <w:rPr>
            <w:rStyle w:val="Hyperlink"/>
          </w:rPr>
          <w:t>View strategic priorities</w:t>
        </w:r>
      </w:hyperlink>
      <w:r w:rsidR="00017EE9">
        <w:t xml:space="preserve">. </w:t>
      </w:r>
    </w:p>
    <w:p w14:paraId="71F09EE2" w14:textId="77777777" w:rsidR="00733D82" w:rsidRDefault="00733D82" w:rsidP="00733D82"/>
    <w:p w14:paraId="37038928" w14:textId="3D94B9C8" w:rsidR="00280263" w:rsidRPr="00017EE9" w:rsidRDefault="00280263" w:rsidP="00280263">
      <w:pPr>
        <w:pStyle w:val="ListParagraph"/>
        <w:numPr>
          <w:ilvl w:val="0"/>
          <w:numId w:val="25"/>
        </w:numPr>
      </w:pPr>
      <w:r w:rsidRPr="00017EE9">
        <w:t>Communities Strategy </w:t>
      </w:r>
    </w:p>
    <w:p w14:paraId="1DB19F8C" w14:textId="005CFA06" w:rsidR="00280263" w:rsidRPr="00017EE9" w:rsidRDefault="00280263" w:rsidP="00280263">
      <w:pPr>
        <w:pStyle w:val="ListParagraph"/>
        <w:numPr>
          <w:ilvl w:val="0"/>
          <w:numId w:val="25"/>
        </w:numPr>
      </w:pPr>
      <w:r w:rsidRPr="00017EE9">
        <w:t>Wellbeing Strategy </w:t>
      </w:r>
    </w:p>
    <w:p w14:paraId="4242736F" w14:textId="74E5B652" w:rsidR="00280263" w:rsidRPr="00806633" w:rsidRDefault="00280263" w:rsidP="00280263">
      <w:pPr>
        <w:pStyle w:val="ListParagraph"/>
        <w:numPr>
          <w:ilvl w:val="0"/>
          <w:numId w:val="25"/>
        </w:numPr>
      </w:pPr>
      <w:r w:rsidRPr="00017EE9">
        <w:t>Leisure, Sport and Physical Activity Strategy</w:t>
      </w:r>
    </w:p>
    <w:p w14:paraId="2F7249EF" w14:textId="77777777" w:rsidR="00733D82" w:rsidRPr="00733D82" w:rsidRDefault="00733D82" w:rsidP="00733D82"/>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72952507" w14:textId="77777777" w:rsidR="005C2DB8" w:rsidRDefault="005C2DB8" w:rsidP="00733D82"/>
    <w:p w14:paraId="7C79CB19" w14:textId="77777777" w:rsidR="007643E2" w:rsidRDefault="007643E2" w:rsidP="00596854">
      <w:pPr>
        <w:pStyle w:val="Heading1"/>
      </w:pPr>
    </w:p>
    <w:p w14:paraId="052F4911" w14:textId="77777777" w:rsidR="007643E2" w:rsidRDefault="007643E2" w:rsidP="00596854">
      <w:pPr>
        <w:pStyle w:val="Heading1"/>
      </w:pPr>
    </w:p>
    <w:p w14:paraId="58832968" w14:textId="67716B53" w:rsidR="005C2DB8" w:rsidRDefault="005C2DB8" w:rsidP="00596854">
      <w:pPr>
        <w:pStyle w:val="Heading1"/>
      </w:pPr>
      <w:bookmarkStart w:id="1" w:name="_Toc165041147"/>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77777777" w:rsidR="0092392E" w:rsidRPr="003D39FF" w:rsidRDefault="0092392E" w:rsidP="00331272">
      <w:pPr>
        <w:pStyle w:val="ListParagraph"/>
        <w:numPr>
          <w:ilvl w:val="0"/>
          <w:numId w:val="2"/>
        </w:numPr>
      </w:pPr>
      <w:r w:rsidRPr="003D39FF">
        <w:t>Provide a service for the benefit of Babergh 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4FC48119" w14:textId="7B177DF0" w:rsidR="0092392E" w:rsidRDefault="0092392E" w:rsidP="00331272">
      <w:pPr>
        <w:pStyle w:val="ListParagraph"/>
        <w:numPr>
          <w:ilvl w:val="0"/>
          <w:numId w:val="2"/>
        </w:numPr>
      </w:pPr>
      <w:r w:rsidRPr="003D39FF">
        <w:t xml:space="preserve">Provide services </w:t>
      </w:r>
      <w:r w:rsidR="00756C42">
        <w:t>which align with</w:t>
      </w:r>
      <w:r w:rsidRPr="003D39FF">
        <w:t xml:space="preserve"> the Councils’ </w:t>
      </w:r>
      <w:r w:rsidR="003E011B">
        <w:t xml:space="preserve">Strategies,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6A40427D" w:rsidR="008D3BD5" w:rsidRPr="003D39FF" w:rsidRDefault="00C67AFA" w:rsidP="00331272">
      <w:pPr>
        <w:pStyle w:val="NoSpacing"/>
        <w:numPr>
          <w:ilvl w:val="0"/>
          <w:numId w:val="4"/>
        </w:numPr>
      </w:pPr>
      <w:r>
        <w:t xml:space="preserve">To ensure best value for money, three quotes 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w:t>
      </w:r>
      <w:r w:rsidRPr="00AC2CBB">
        <w:lastRenderedPageBreak/>
        <w:t xml:space="preserve">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xml:space="preserve">,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w:t>
      </w:r>
      <w:proofErr w:type="gramStart"/>
      <w:r w:rsidRPr="00AC2CBB">
        <w:rPr>
          <w:lang w:val="en-US"/>
        </w:rPr>
        <w:t>costs</w:t>
      </w:r>
      <w:proofErr w:type="gramEnd"/>
    </w:p>
    <w:p w14:paraId="4215A41D" w14:textId="79DDF8C1"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3C74A2D4" w14:textId="77777777" w:rsidR="00392DF9" w:rsidRPr="00120088" w:rsidRDefault="00392DF9" w:rsidP="00120088"/>
    <w:p w14:paraId="2D4068C0" w14:textId="77777777" w:rsidR="001B002A" w:rsidRDefault="001B002A" w:rsidP="00596854">
      <w:pPr>
        <w:pStyle w:val="Heading1"/>
      </w:pPr>
    </w:p>
    <w:p w14:paraId="0698AFB2" w14:textId="013D71B9" w:rsidR="00D56F9A" w:rsidRDefault="00082D07" w:rsidP="00596854">
      <w:pPr>
        <w:pStyle w:val="Heading1"/>
      </w:pPr>
      <w:bookmarkStart w:id="2" w:name="_Toc165041148"/>
      <w:r>
        <w:t>Process</w:t>
      </w:r>
      <w:bookmarkEnd w:id="2"/>
    </w:p>
    <w:p w14:paraId="6694840D" w14:textId="77777777" w:rsidR="00082D07" w:rsidRDefault="00082D07" w:rsidP="00082D07"/>
    <w:p w14:paraId="2399461F" w14:textId="1FF9C233" w:rsidR="007E736A" w:rsidRDefault="007E736A" w:rsidP="00E96893">
      <w:pPr>
        <w:pStyle w:val="Heading3"/>
      </w:pPr>
      <w:r>
        <w:t>Pre-Application</w:t>
      </w:r>
    </w:p>
    <w:p w14:paraId="6858BF43" w14:textId="2B296A5B" w:rsidR="00412803" w:rsidRDefault="00F94506" w:rsidP="00082D07">
      <w:r>
        <w:t xml:space="preserve">Applicants may wish to have pre-application discussions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21D0BF96"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7CB2C323" w14:textId="220A5C1B" w:rsidR="00965320" w:rsidRDefault="00D31F3A" w:rsidP="007E736A">
      <w:r>
        <w:t>The payment process differs per Grant. For Capital projects, n</w:t>
      </w:r>
      <w:r w:rsidR="00965320" w:rsidRPr="00767FEE">
        <w:t>o payments will be released until copy invoices/receipts are produced and may be calculated on a percentage basis of the invoices provided as per stated in the offer letter.</w:t>
      </w:r>
    </w:p>
    <w:p w14:paraId="5157030C" w14:textId="77777777" w:rsidR="00412803" w:rsidRDefault="00412803" w:rsidP="00965320"/>
    <w:p w14:paraId="500A07C8" w14:textId="77777777" w:rsidR="004D5EE7" w:rsidRDefault="004D5EE7">
      <w:pPr>
        <w:spacing w:after="200" w:line="276" w:lineRule="auto"/>
        <w:rPr>
          <w:b/>
          <w:bCs w:val="0"/>
          <w:sz w:val="36"/>
          <w:szCs w:val="36"/>
        </w:rPr>
      </w:pPr>
      <w:r>
        <w:br w:type="page"/>
      </w:r>
    </w:p>
    <w:p w14:paraId="16F78D71" w14:textId="1EEEF3C1" w:rsidR="007E736A" w:rsidRDefault="00D31F3A" w:rsidP="00596854">
      <w:pPr>
        <w:pStyle w:val="Heading1"/>
      </w:pPr>
      <w:bookmarkStart w:id="3" w:name="_Toc165041149"/>
      <w:r>
        <w:lastRenderedPageBreak/>
        <w:t>Grants Available</w:t>
      </w:r>
      <w:bookmarkEnd w:id="3"/>
    </w:p>
    <w:p w14:paraId="4BD0EE55" w14:textId="30AA928A" w:rsidR="00457863" w:rsidRPr="008C3590" w:rsidRDefault="00D31F3A" w:rsidP="00E96893">
      <w:pPr>
        <w:pStyle w:val="Heading2"/>
      </w:pPr>
      <w:bookmarkStart w:id="4" w:name="_Toc165041150"/>
      <w:r w:rsidRPr="005A1BEC">
        <w:t xml:space="preserve">Community Development </w:t>
      </w:r>
      <w:r w:rsidR="0071697F" w:rsidRPr="005A1BEC">
        <w:t>Grants</w:t>
      </w:r>
      <w:bookmarkEnd w:id="4"/>
    </w:p>
    <w:p w14:paraId="29541BB5" w14:textId="494CD713" w:rsidR="00457863" w:rsidRPr="005A1BEC" w:rsidRDefault="00457863" w:rsidP="00E96893">
      <w:pPr>
        <w:pStyle w:val="Heading3"/>
      </w:pPr>
      <w:r w:rsidRPr="005A1BEC">
        <w:rPr>
          <w:rStyle w:val="normaltextrun"/>
        </w:rPr>
        <w:t xml:space="preserve">Level of </w:t>
      </w:r>
      <w:r w:rsidR="005A1BEC">
        <w:rPr>
          <w:rStyle w:val="normaltextrun"/>
        </w:rPr>
        <w:t>G</w:t>
      </w:r>
      <w:r w:rsidRPr="005A1BEC">
        <w:rPr>
          <w:rStyle w:val="normaltextrun"/>
        </w:rPr>
        <w:t xml:space="preserve">rant </w:t>
      </w:r>
      <w:r w:rsidR="005A1BEC">
        <w:rPr>
          <w:rStyle w:val="normaltextrun"/>
        </w:rPr>
        <w:t>A</w:t>
      </w:r>
      <w:r w:rsidRPr="005A1BEC">
        <w:rPr>
          <w:rStyle w:val="normaltextrun"/>
        </w:rPr>
        <w:t>id</w:t>
      </w:r>
    </w:p>
    <w:p w14:paraId="1AB7A6A7" w14:textId="527B0E3B" w:rsidR="00457863" w:rsidRDefault="00457863" w:rsidP="00457863">
      <w:pPr>
        <w:pStyle w:val="paragraph"/>
        <w:spacing w:before="240" w:beforeAutospacing="0" w:after="0" w:afterAutospacing="0"/>
        <w:textAlignment w:val="baseline"/>
        <w:rPr>
          <w:rFonts w:ascii="Arial" w:hAnsi="Arial" w:cs="Arial"/>
        </w:rPr>
      </w:pPr>
      <w:r>
        <w:rPr>
          <w:rStyle w:val="normaltextrun"/>
          <w:rFonts w:ascii="Arial" w:hAnsi="Arial" w:cs="Arial"/>
          <w:color w:val="000000"/>
        </w:rPr>
        <w:t xml:space="preserve">Revenue or </w:t>
      </w:r>
      <w:r w:rsidR="005A1BEC">
        <w:rPr>
          <w:rStyle w:val="normaltextrun"/>
          <w:rFonts w:ascii="Arial" w:hAnsi="Arial" w:cs="Arial"/>
          <w:color w:val="000000"/>
        </w:rPr>
        <w:t>C</w:t>
      </w:r>
      <w:r>
        <w:rPr>
          <w:rStyle w:val="normaltextrun"/>
          <w:rFonts w:ascii="Arial" w:hAnsi="Arial" w:cs="Arial"/>
          <w:color w:val="000000"/>
        </w:rPr>
        <w:t>apital</w:t>
      </w:r>
      <w:r w:rsidR="005A1BEC">
        <w:rPr>
          <w:rStyle w:val="normaltextrun"/>
          <w:rFonts w:ascii="Arial" w:hAnsi="Arial" w:cs="Arial"/>
          <w:color w:val="000000"/>
        </w:rPr>
        <w:t xml:space="preserve"> costs,</w:t>
      </w:r>
      <w:r>
        <w:rPr>
          <w:rStyle w:val="normaltextrun"/>
          <w:rFonts w:ascii="Arial" w:hAnsi="Arial" w:cs="Arial"/>
          <w:color w:val="000000"/>
        </w:rPr>
        <w:t xml:space="preserve"> up to 100% of total project costs (to a maximum grant of £20,000). Applicants can only make one application to the Community Development Grant per group of beneficiaries they support </w:t>
      </w:r>
      <w:r w:rsidR="00E11B7C">
        <w:rPr>
          <w:rStyle w:val="normaltextrun"/>
          <w:rFonts w:ascii="Arial" w:hAnsi="Arial" w:cs="Arial"/>
          <w:color w:val="000000"/>
        </w:rPr>
        <w:t>and</w:t>
      </w:r>
      <w:r>
        <w:rPr>
          <w:rStyle w:val="normaltextrun"/>
          <w:rFonts w:ascii="Arial" w:hAnsi="Arial" w:cs="Arial"/>
          <w:color w:val="000000"/>
        </w:rPr>
        <w:t xml:space="preserve"> can</w:t>
      </w:r>
      <w:r w:rsidR="00E11B7C">
        <w:rPr>
          <w:rStyle w:val="normaltextrun"/>
          <w:rFonts w:ascii="Arial" w:hAnsi="Arial" w:cs="Arial"/>
          <w:color w:val="000000"/>
        </w:rPr>
        <w:t>not</w:t>
      </w:r>
      <w:r>
        <w:rPr>
          <w:rStyle w:val="normaltextrun"/>
          <w:rFonts w:ascii="Arial" w:hAnsi="Arial" w:cs="Arial"/>
          <w:color w:val="000000"/>
        </w:rPr>
        <w:t xml:space="preserve"> apply </w:t>
      </w:r>
      <w:r w:rsidR="00E11B7C">
        <w:rPr>
          <w:rStyle w:val="normaltextrun"/>
          <w:rFonts w:ascii="Arial" w:hAnsi="Arial" w:cs="Arial"/>
          <w:color w:val="000000"/>
        </w:rPr>
        <w:t>to</w:t>
      </w:r>
      <w:r>
        <w:rPr>
          <w:rStyle w:val="normaltextrun"/>
          <w:rFonts w:ascii="Arial" w:hAnsi="Arial" w:cs="Arial"/>
          <w:color w:val="000000"/>
        </w:rPr>
        <w:t xml:space="preserve"> </w:t>
      </w:r>
      <w:r w:rsidR="00E11B7C">
        <w:rPr>
          <w:rStyle w:val="normaltextrun"/>
          <w:rFonts w:ascii="Arial" w:hAnsi="Arial" w:cs="Arial"/>
          <w:color w:val="000000"/>
        </w:rPr>
        <w:t>Capital</w:t>
      </w:r>
      <w:r>
        <w:rPr>
          <w:rStyle w:val="normaltextrun"/>
          <w:rFonts w:ascii="Arial" w:hAnsi="Arial" w:cs="Arial"/>
          <w:color w:val="000000"/>
        </w:rPr>
        <w:t xml:space="preserve"> </w:t>
      </w:r>
      <w:r w:rsidR="00E11B7C">
        <w:rPr>
          <w:rStyle w:val="normaltextrun"/>
          <w:rFonts w:ascii="Arial" w:hAnsi="Arial" w:cs="Arial"/>
          <w:color w:val="000000"/>
        </w:rPr>
        <w:t>G</w:t>
      </w:r>
      <w:r>
        <w:rPr>
          <w:rStyle w:val="normaltextrun"/>
          <w:rFonts w:ascii="Arial" w:hAnsi="Arial" w:cs="Arial"/>
          <w:color w:val="000000"/>
        </w:rPr>
        <w:t>rants for the same project or activity.</w:t>
      </w:r>
      <w:r w:rsidR="00DF63F2">
        <w:rPr>
          <w:rStyle w:val="normaltextrun"/>
          <w:rFonts w:ascii="Arial" w:hAnsi="Arial" w:cs="Arial"/>
          <w:color w:val="000000"/>
        </w:rPr>
        <w:t xml:space="preserve"> </w:t>
      </w:r>
      <w:r w:rsidR="000B7B55" w:rsidRPr="000B7B55">
        <w:rPr>
          <w:rFonts w:ascii="Arial" w:hAnsi="Arial" w:cs="Arial"/>
          <w:bCs/>
          <w:color w:val="000000"/>
        </w:rPr>
        <w:t>Successful C</w:t>
      </w:r>
      <w:r w:rsidR="000B7B55">
        <w:rPr>
          <w:rFonts w:ascii="Arial" w:hAnsi="Arial" w:cs="Arial"/>
          <w:bCs/>
          <w:color w:val="000000"/>
        </w:rPr>
        <w:t>ommunity Development</w:t>
      </w:r>
      <w:r w:rsidR="000B7B55" w:rsidRPr="000B7B55">
        <w:rPr>
          <w:rFonts w:ascii="Arial" w:hAnsi="Arial" w:cs="Arial"/>
          <w:bCs/>
          <w:color w:val="000000"/>
        </w:rPr>
        <w:t xml:space="preserve"> Grant recipients cannot re-apply for a C</w:t>
      </w:r>
      <w:r w:rsidR="000B7B55">
        <w:rPr>
          <w:rFonts w:ascii="Arial" w:hAnsi="Arial" w:cs="Arial"/>
          <w:bCs/>
          <w:color w:val="000000"/>
        </w:rPr>
        <w:t>ommunity Development</w:t>
      </w:r>
      <w:r w:rsidR="000B7B55" w:rsidRPr="000B7B55">
        <w:rPr>
          <w:rFonts w:ascii="Arial" w:hAnsi="Arial" w:cs="Arial"/>
          <w:bCs/>
          <w:color w:val="000000"/>
        </w:rPr>
        <w:t xml:space="preserve"> Grant within t</w:t>
      </w:r>
      <w:r w:rsidR="000B7B55">
        <w:rPr>
          <w:rFonts w:ascii="Arial" w:hAnsi="Arial" w:cs="Arial"/>
          <w:bCs/>
          <w:color w:val="000000"/>
        </w:rPr>
        <w:t>wo</w:t>
      </w:r>
      <w:r w:rsidR="000B7B55" w:rsidRPr="000B7B55">
        <w:rPr>
          <w:rFonts w:ascii="Arial" w:hAnsi="Arial" w:cs="Arial"/>
          <w:bCs/>
          <w:color w:val="000000"/>
        </w:rPr>
        <w:t xml:space="preserve"> application windows (one financial year) of a previously successful award</w:t>
      </w:r>
      <w:r w:rsidR="000B7B55">
        <w:rPr>
          <w:rFonts w:ascii="Arial" w:hAnsi="Arial" w:cs="Arial"/>
          <w:bCs/>
          <w:color w:val="000000"/>
        </w:rPr>
        <w:t>.</w:t>
      </w:r>
      <w:r w:rsidR="000B7B55" w:rsidRPr="000B7B55">
        <w:rPr>
          <w:rFonts w:ascii="Arial" w:hAnsi="Arial" w:cs="Arial"/>
          <w:bCs/>
          <w:color w:val="000000"/>
        </w:rPr>
        <w:t xml:space="preserve"> </w:t>
      </w:r>
      <w:r w:rsidR="008E4C5B">
        <w:rPr>
          <w:rStyle w:val="normaltextrun"/>
          <w:rFonts w:ascii="Arial" w:hAnsi="Arial" w:cs="Arial"/>
          <w:color w:val="000000"/>
        </w:rPr>
        <w:t xml:space="preserve">There are two application windows per financial year. </w:t>
      </w:r>
      <w:r w:rsidR="00DF63F2">
        <w:rPr>
          <w:rStyle w:val="normaltextrun"/>
          <w:rFonts w:ascii="Arial" w:hAnsi="Arial" w:cs="Arial"/>
          <w:color w:val="000000"/>
        </w:rPr>
        <w:t>£100,000</w:t>
      </w:r>
      <w:r w:rsidR="002032C2">
        <w:rPr>
          <w:rStyle w:val="normaltextrun"/>
          <w:rFonts w:ascii="Arial" w:hAnsi="Arial" w:cs="Arial"/>
          <w:color w:val="000000"/>
        </w:rPr>
        <w:t xml:space="preserve"> is available to apply for each funding window</w:t>
      </w:r>
      <w:r w:rsidR="008E4C5B">
        <w:rPr>
          <w:rStyle w:val="normaltextrun"/>
          <w:rFonts w:ascii="Arial" w:hAnsi="Arial" w:cs="Arial"/>
          <w:color w:val="000000"/>
        </w:rPr>
        <w:t>, allocations will be made as follows:</w:t>
      </w:r>
    </w:p>
    <w:p w14:paraId="12811B7A" w14:textId="6F432FE1" w:rsidR="00457863" w:rsidRDefault="00457863" w:rsidP="00457863">
      <w:pPr>
        <w:spacing w:before="240"/>
        <w:rPr>
          <w:b/>
          <w:bCs w:val="0"/>
        </w:rPr>
      </w:pPr>
      <w:r>
        <w:rPr>
          <w:b/>
        </w:rPr>
        <w:t xml:space="preserve">60% </w:t>
      </w:r>
      <w:r w:rsidR="008E4C5B">
        <w:rPr>
          <w:b/>
        </w:rPr>
        <w:t xml:space="preserve">(£60,000) </w:t>
      </w:r>
      <w:r>
        <w:rPr>
          <w:b/>
        </w:rPr>
        <w:t>of funding allocated within each window will be awarded to support revenue projects.</w:t>
      </w:r>
    </w:p>
    <w:p w14:paraId="7E07E3BE" w14:textId="3076619C" w:rsidR="00457863" w:rsidRDefault="00457863" w:rsidP="00457863">
      <w:pPr>
        <w:spacing w:before="240"/>
        <w:rPr>
          <w:b/>
          <w:bCs w:val="0"/>
        </w:rPr>
      </w:pPr>
      <w:r>
        <w:rPr>
          <w:b/>
        </w:rPr>
        <w:t xml:space="preserve">10% </w:t>
      </w:r>
      <w:r w:rsidR="008E4C5B">
        <w:rPr>
          <w:b/>
        </w:rPr>
        <w:t xml:space="preserve">(£10,000) </w:t>
      </w:r>
      <w:r>
        <w:rPr>
          <w:b/>
        </w:rPr>
        <w:t>of funding allocated within each window will be awarded to support pre-project/design costs.</w:t>
      </w:r>
    </w:p>
    <w:p w14:paraId="7A8C786A" w14:textId="6ED750F5" w:rsidR="00DF63F2" w:rsidRPr="00DF63F2" w:rsidRDefault="00457863" w:rsidP="00DF63F2">
      <w:pPr>
        <w:spacing w:before="240"/>
        <w:rPr>
          <w:b/>
        </w:rPr>
      </w:pPr>
      <w:r>
        <w:rPr>
          <w:b/>
        </w:rPr>
        <w:t xml:space="preserve">30% </w:t>
      </w:r>
      <w:r w:rsidR="008E4C5B">
        <w:rPr>
          <w:b/>
        </w:rPr>
        <w:t xml:space="preserve">(£30,000) </w:t>
      </w:r>
      <w:r>
        <w:rPr>
          <w:b/>
        </w:rPr>
        <w:t>of funding allocated within each window will be awarded to support capital projects.</w:t>
      </w:r>
    </w:p>
    <w:p w14:paraId="3D1FB9AA" w14:textId="79ACF052" w:rsidR="00E101F8" w:rsidRDefault="00E101F8" w:rsidP="00E96893">
      <w:pPr>
        <w:pStyle w:val="Heading3"/>
      </w:pPr>
      <w:r>
        <w:t>What can be funded?</w:t>
      </w:r>
    </w:p>
    <w:p w14:paraId="467720B6" w14:textId="492F781D" w:rsidR="00457863" w:rsidRDefault="00457863" w:rsidP="00457863">
      <w:pPr>
        <w:pStyle w:val="paragraph"/>
        <w:spacing w:before="240" w:beforeAutospacing="0" w:after="0" w:afterAutospacing="0"/>
        <w:textAlignment w:val="baseline"/>
        <w:rPr>
          <w:rFonts w:ascii="Arial" w:hAnsi="Arial" w:cs="Arial"/>
        </w:rPr>
      </w:pPr>
      <w:r w:rsidRPr="00767FEE">
        <w:rPr>
          <w:rFonts w:ascii="Arial" w:hAnsi="Arial" w:cs="Arial"/>
        </w:rPr>
        <w:t>A desc</w:t>
      </w:r>
      <w:r>
        <w:rPr>
          <w:rFonts w:ascii="Arial" w:hAnsi="Arial" w:cs="Arial"/>
        </w:rPr>
        <w:t>r</w:t>
      </w:r>
      <w:r w:rsidRPr="00767FEE">
        <w:rPr>
          <w:rFonts w:ascii="Arial" w:hAnsi="Arial" w:cs="Arial"/>
        </w:rPr>
        <w:t xml:space="preserve">iption of the activities or actions which may be eligible for support under each category have been produced below, but this is intended as a guide only and should not be considered an exhaustive list. </w:t>
      </w:r>
    </w:p>
    <w:p w14:paraId="632EC4F9" w14:textId="77777777" w:rsidR="00457863" w:rsidRDefault="00457863" w:rsidP="00457863">
      <w:pPr>
        <w:pStyle w:val="paragraph"/>
        <w:spacing w:before="240" w:beforeAutospacing="0" w:after="0" w:afterAutospacing="0"/>
        <w:textAlignment w:val="baseline"/>
        <w:rPr>
          <w:rFonts w:ascii="Arial" w:hAnsi="Arial" w:cs="Arial"/>
        </w:rPr>
      </w:pPr>
      <w:r w:rsidRPr="00767FEE">
        <w:rPr>
          <w:rFonts w:ascii="Arial" w:hAnsi="Arial" w:cs="Arial"/>
        </w:rPr>
        <w:t>The Council wishes to encourage new and innovative project activities</w:t>
      </w:r>
      <w:r>
        <w:rPr>
          <w:rFonts w:ascii="Arial" w:hAnsi="Arial" w:cs="Arial"/>
        </w:rPr>
        <w:t xml:space="preserve"> </w:t>
      </w:r>
      <w:r>
        <w:rPr>
          <w:rStyle w:val="normaltextrun"/>
          <w:rFonts w:ascii="Arial" w:hAnsi="Arial" w:cs="Arial"/>
          <w:color w:val="000000"/>
        </w:rPr>
        <w:t xml:space="preserve">to support local communities and organisations in Mid Suffolk with financial support to help with the delivery of local place-based initiatives and activities, where gaps in provision have been identified.  Applicants can apply for revenue or capital funding, and there will be an allocation within the fund for feasibility studies.  Applicants will need to demonstrate they offer a wider community benefit and are fully inclusive.  This flexibility in funding enables </w:t>
      </w:r>
      <w:r>
        <w:rPr>
          <w:rStyle w:val="normaltextrun"/>
          <w:rFonts w:ascii="Arial" w:hAnsi="Arial" w:cs="Arial"/>
        </w:rPr>
        <w:t>organisations to be more responsive, effective, sustainable and accountable.</w:t>
      </w:r>
    </w:p>
    <w:p w14:paraId="14478304" w14:textId="77777777" w:rsidR="00457863" w:rsidRDefault="00457863" w:rsidP="00457863">
      <w:pPr>
        <w:pStyle w:val="paragraph"/>
        <w:spacing w:before="240" w:beforeAutospacing="0" w:after="0" w:afterAutospacing="0"/>
        <w:textAlignment w:val="baseline"/>
        <w:rPr>
          <w:rFonts w:ascii="Arial" w:hAnsi="Arial" w:cs="Arial"/>
        </w:rPr>
      </w:pPr>
      <w:r>
        <w:rPr>
          <w:rStyle w:val="normaltextrun"/>
          <w:rFonts w:ascii="Arial" w:hAnsi="Arial" w:cs="Arial"/>
          <w:shd w:val="clear" w:color="auto" w:fill="FFFFFF"/>
        </w:rPr>
        <w:t>We will ask for up to three key outcomes applicants think can be achieved by the end of the grant (outcomes), and details of how they will track your progress towards these outcomes (indicators).</w:t>
      </w:r>
      <w:r>
        <w:rPr>
          <w:rStyle w:val="eop"/>
          <w:rFonts w:ascii="Arial" w:hAnsi="Arial" w:cs="Arial"/>
        </w:rPr>
        <w:t> </w:t>
      </w:r>
    </w:p>
    <w:p w14:paraId="1679DBEA" w14:textId="77777777" w:rsidR="00457863" w:rsidRPr="00767FEE" w:rsidRDefault="00457863" w:rsidP="00457863">
      <w:pPr>
        <w:spacing w:before="240"/>
        <w:jc w:val="both"/>
      </w:pPr>
      <w:r w:rsidRPr="00767FEE">
        <w:t>All applications will require the completion of an application form, and the submission of supporting information including quotations/estimates. Depending on the nature of the work, documented Planning Permission and Building Regulations consent may also be required.</w:t>
      </w:r>
    </w:p>
    <w:p w14:paraId="5BF660F8" w14:textId="2E9C9C93" w:rsidR="00457863" w:rsidRPr="00E101F8" w:rsidRDefault="00457863" w:rsidP="00E96893">
      <w:pPr>
        <w:pStyle w:val="Heading3"/>
      </w:pPr>
      <w:r w:rsidRPr="00E101F8">
        <w:rPr>
          <w:rStyle w:val="normaltextrun"/>
        </w:rPr>
        <w:t xml:space="preserve">Examples of Eligible </w:t>
      </w:r>
      <w:r w:rsidR="00E101F8">
        <w:rPr>
          <w:rStyle w:val="normaltextrun"/>
        </w:rPr>
        <w:t>P</w:t>
      </w:r>
      <w:r w:rsidRPr="00E101F8">
        <w:rPr>
          <w:rStyle w:val="normaltextrun"/>
        </w:rPr>
        <w:t>rojects</w:t>
      </w:r>
      <w:r w:rsidRPr="00E101F8">
        <w:rPr>
          <w:rStyle w:val="eop"/>
        </w:rPr>
        <w:t> </w:t>
      </w:r>
    </w:p>
    <w:p w14:paraId="15F2F671" w14:textId="2818B7DF" w:rsidR="00457863" w:rsidRDefault="00457863" w:rsidP="00331272">
      <w:pPr>
        <w:pStyle w:val="NoSpacing"/>
        <w:numPr>
          <w:ilvl w:val="0"/>
          <w:numId w:val="7"/>
        </w:numPr>
      </w:pPr>
      <w:r>
        <w:rPr>
          <w:rStyle w:val="normaltextrun"/>
          <w:color w:val="000000"/>
        </w:rPr>
        <w:t xml:space="preserve">Provision of new or improvements to existing community facilities to </w:t>
      </w:r>
      <w:r w:rsidR="00F10601">
        <w:rPr>
          <w:rStyle w:val="normaltextrun"/>
          <w:color w:val="000000"/>
        </w:rPr>
        <w:t>meet an evidenced need or an innovative project</w:t>
      </w:r>
    </w:p>
    <w:p w14:paraId="24E5198E" w14:textId="5B5C25EA" w:rsidR="00457863" w:rsidRDefault="00457863" w:rsidP="00331272">
      <w:pPr>
        <w:pStyle w:val="NoSpacing"/>
        <w:numPr>
          <w:ilvl w:val="0"/>
          <w:numId w:val="7"/>
        </w:numPr>
      </w:pPr>
      <w:r>
        <w:rPr>
          <w:rStyle w:val="normaltextrun"/>
          <w:color w:val="000000"/>
        </w:rPr>
        <w:t>Creation of new or upgraded existing play areas and equipment where there is a lack in provision</w:t>
      </w:r>
    </w:p>
    <w:p w14:paraId="04122186" w14:textId="05CE6DEF" w:rsidR="00457863" w:rsidRDefault="00457863" w:rsidP="00331272">
      <w:pPr>
        <w:pStyle w:val="NoSpacing"/>
        <w:numPr>
          <w:ilvl w:val="0"/>
          <w:numId w:val="7"/>
        </w:numPr>
      </w:pPr>
      <w:r>
        <w:rPr>
          <w:rStyle w:val="normaltextrun"/>
          <w:color w:val="000000"/>
        </w:rPr>
        <w:t>Provision of new sport facilities or enhancement to equipment, specifically in more rural settings and villages</w:t>
      </w:r>
      <w:r>
        <w:rPr>
          <w:rStyle w:val="eop"/>
          <w:color w:val="000000"/>
        </w:rPr>
        <w:t> </w:t>
      </w:r>
    </w:p>
    <w:p w14:paraId="469CC95A" w14:textId="2A04661F" w:rsidR="00457863" w:rsidRDefault="00457863" w:rsidP="00331272">
      <w:pPr>
        <w:pStyle w:val="NoSpacing"/>
        <w:numPr>
          <w:ilvl w:val="0"/>
          <w:numId w:val="7"/>
        </w:numPr>
      </w:pPr>
      <w:r>
        <w:rPr>
          <w:rStyle w:val="normaltextrun"/>
          <w:color w:val="000000"/>
        </w:rPr>
        <w:t>Cultural and heritage facilities which seek to expand their offer to new local audiences in the community and support wellbeing - particularly those currently under-represented as users</w:t>
      </w:r>
    </w:p>
    <w:p w14:paraId="07E559F7" w14:textId="12CA893C" w:rsidR="00457863" w:rsidRDefault="00457863" w:rsidP="00331272">
      <w:pPr>
        <w:pStyle w:val="NoSpacing"/>
        <w:numPr>
          <w:ilvl w:val="0"/>
          <w:numId w:val="7"/>
        </w:numPr>
      </w:pPr>
      <w:r>
        <w:rPr>
          <w:rStyle w:val="normaltextrun"/>
          <w:color w:val="000000"/>
        </w:rPr>
        <w:t>Projects providing digital improvements that benefit communities</w:t>
      </w:r>
      <w:r>
        <w:rPr>
          <w:rStyle w:val="eop"/>
          <w:color w:val="000000"/>
        </w:rPr>
        <w:t> </w:t>
      </w:r>
    </w:p>
    <w:p w14:paraId="04B90B29" w14:textId="4F8A96DD" w:rsidR="00457863" w:rsidRDefault="00457863" w:rsidP="00331272">
      <w:pPr>
        <w:pStyle w:val="NoSpacing"/>
        <w:numPr>
          <w:ilvl w:val="0"/>
          <w:numId w:val="7"/>
        </w:numPr>
      </w:pPr>
      <w:r>
        <w:rPr>
          <w:rStyle w:val="normaltextrun"/>
          <w:color w:val="000000"/>
        </w:rPr>
        <w:lastRenderedPageBreak/>
        <w:t>Creation of new publicly available open space or projects which conserve, protect or enhance the environment</w:t>
      </w:r>
    </w:p>
    <w:p w14:paraId="49EDE0BC" w14:textId="73389302" w:rsidR="00457863" w:rsidRDefault="00457863" w:rsidP="00331272">
      <w:pPr>
        <w:pStyle w:val="NoSpacing"/>
        <w:numPr>
          <w:ilvl w:val="0"/>
          <w:numId w:val="7"/>
        </w:numPr>
      </w:pPr>
      <w:r>
        <w:rPr>
          <w:rStyle w:val="normaltextrun"/>
          <w:color w:val="000000"/>
        </w:rPr>
        <w:t>Provision of activities that support communities to reduce isolation, improve social contact and improve wellbeing</w:t>
      </w:r>
    </w:p>
    <w:p w14:paraId="45D37905" w14:textId="75FFD919" w:rsidR="00457863" w:rsidRDefault="00457863" w:rsidP="00331272">
      <w:pPr>
        <w:pStyle w:val="NoSpacing"/>
        <w:numPr>
          <w:ilvl w:val="0"/>
          <w:numId w:val="7"/>
        </w:numPr>
      </w:pPr>
      <w:r>
        <w:rPr>
          <w:rStyle w:val="normaltextrun"/>
          <w:color w:val="000000"/>
        </w:rPr>
        <w:t>Installation of renewable or net zero energy projects</w:t>
      </w:r>
    </w:p>
    <w:p w14:paraId="5CD67DCC" w14:textId="77777777" w:rsidR="00457863" w:rsidRDefault="00457863" w:rsidP="00331272">
      <w:pPr>
        <w:pStyle w:val="NoSpacing"/>
        <w:numPr>
          <w:ilvl w:val="0"/>
          <w:numId w:val="7"/>
        </w:numPr>
      </w:pPr>
      <w:r>
        <w:rPr>
          <w:rStyle w:val="normaltextrun"/>
          <w:color w:val="000000"/>
        </w:rPr>
        <w:t>Provision of costs for feasibility surveys/work where there is a demonstrable need. (Capped at £8,000).  (A feasibility study will help to determine whether something can be done, should you proceed with it, and if so, how.)</w:t>
      </w:r>
    </w:p>
    <w:p w14:paraId="2BA4D1CE" w14:textId="06E0B802" w:rsidR="00457863" w:rsidRDefault="00457863" w:rsidP="00331272">
      <w:pPr>
        <w:pStyle w:val="NoSpacing"/>
        <w:numPr>
          <w:ilvl w:val="0"/>
          <w:numId w:val="7"/>
        </w:numPr>
      </w:pPr>
      <w:r>
        <w:rPr>
          <w:rStyle w:val="normaltextrun"/>
          <w:color w:val="000000"/>
        </w:rPr>
        <w:t>Funding to enable professional support to develop a business plan/business strategy to improve the sustainability of VCSE organisations</w:t>
      </w:r>
    </w:p>
    <w:p w14:paraId="54832A61" w14:textId="184AC127" w:rsidR="0071697F" w:rsidRPr="00050FE7" w:rsidRDefault="00457863" w:rsidP="00331272">
      <w:pPr>
        <w:pStyle w:val="NoSpacing"/>
        <w:numPr>
          <w:ilvl w:val="0"/>
          <w:numId w:val="7"/>
        </w:numPr>
        <w:rPr>
          <w:rStyle w:val="normaltextrun"/>
        </w:rPr>
      </w:pPr>
      <w:r>
        <w:rPr>
          <w:rStyle w:val="normaltextrun"/>
          <w:color w:val="000000"/>
        </w:rPr>
        <w:t>Support for community groups with additional costs incurred in retaining a service/activity due to the cost of living crisis</w:t>
      </w:r>
    </w:p>
    <w:p w14:paraId="4D89E098" w14:textId="77777777" w:rsidR="00050FE7" w:rsidRDefault="00050FE7" w:rsidP="00050FE7">
      <w:pPr>
        <w:pStyle w:val="NoSpacing"/>
        <w:rPr>
          <w:rStyle w:val="normaltextrun"/>
          <w:color w:val="000000"/>
        </w:rPr>
      </w:pPr>
    </w:p>
    <w:p w14:paraId="5AF3B725" w14:textId="2D506B30" w:rsidR="00050FE7" w:rsidRPr="00E101F8" w:rsidRDefault="00050FE7" w:rsidP="00E96893">
      <w:pPr>
        <w:pStyle w:val="Heading3"/>
      </w:pPr>
      <w:r w:rsidRPr="00E101F8">
        <w:rPr>
          <w:rStyle w:val="normaltextrun"/>
        </w:rPr>
        <w:t xml:space="preserve">Examples of </w:t>
      </w:r>
      <w:r>
        <w:rPr>
          <w:rStyle w:val="normaltextrun"/>
        </w:rPr>
        <w:t>Ine</w:t>
      </w:r>
      <w:r w:rsidRPr="00E101F8">
        <w:rPr>
          <w:rStyle w:val="normaltextrun"/>
        </w:rPr>
        <w:t xml:space="preserve">ligible </w:t>
      </w:r>
      <w:r>
        <w:rPr>
          <w:rStyle w:val="normaltextrun"/>
        </w:rPr>
        <w:t>P</w:t>
      </w:r>
      <w:r w:rsidRPr="00E101F8">
        <w:rPr>
          <w:rStyle w:val="normaltextrun"/>
        </w:rPr>
        <w:t>rojects</w:t>
      </w:r>
      <w:r w:rsidRPr="00E101F8">
        <w:rPr>
          <w:rStyle w:val="eop"/>
        </w:rPr>
        <w:t> </w:t>
      </w:r>
    </w:p>
    <w:p w14:paraId="0B0EDF11" w14:textId="62054917" w:rsidR="00050FE7" w:rsidRDefault="00050FE7" w:rsidP="00050FE7">
      <w:pPr>
        <w:pStyle w:val="NoSpacing"/>
        <w:numPr>
          <w:ilvl w:val="0"/>
          <w:numId w:val="22"/>
        </w:numPr>
        <w:rPr>
          <w:rStyle w:val="normaltextrun"/>
        </w:rPr>
      </w:pPr>
      <w:r>
        <w:rPr>
          <w:rStyle w:val="normaltextrun"/>
        </w:rPr>
        <w:t>Repairs to existing social infrastructure</w:t>
      </w:r>
      <w:r w:rsidR="00D459FF">
        <w:rPr>
          <w:rStyle w:val="normaltextrun"/>
        </w:rPr>
        <w:t xml:space="preserve"> </w:t>
      </w:r>
      <w:r w:rsidR="00CE3CFE">
        <w:rPr>
          <w:rStyle w:val="normaltextrun"/>
        </w:rPr>
        <w:t>such as village halls and play equipment</w:t>
      </w:r>
    </w:p>
    <w:p w14:paraId="31FF5E0F" w14:textId="18CC1A92" w:rsidR="00CE3CFE" w:rsidRDefault="00982DA9" w:rsidP="00050FE7">
      <w:pPr>
        <w:pStyle w:val="NoSpacing"/>
        <w:numPr>
          <w:ilvl w:val="0"/>
          <w:numId w:val="22"/>
        </w:numPr>
        <w:rPr>
          <w:rStyle w:val="normaltextrun"/>
        </w:rPr>
      </w:pPr>
      <w:r>
        <w:rPr>
          <w:rStyle w:val="normaltextrun"/>
        </w:rPr>
        <w:t xml:space="preserve">Purchase of </w:t>
      </w:r>
      <w:r w:rsidR="0064158E">
        <w:rPr>
          <w:rStyle w:val="normaltextrun"/>
        </w:rPr>
        <w:t>equipment where there is no</w:t>
      </w:r>
      <w:r w:rsidR="00E2640A">
        <w:rPr>
          <w:rStyle w:val="normaltextrun"/>
        </w:rPr>
        <w:t xml:space="preserve"> clear evidence of need</w:t>
      </w:r>
    </w:p>
    <w:p w14:paraId="5DAE376B" w14:textId="58B87404" w:rsidR="00047E19" w:rsidRDefault="00047E19" w:rsidP="00050FE7">
      <w:pPr>
        <w:pStyle w:val="NoSpacing"/>
        <w:numPr>
          <w:ilvl w:val="0"/>
          <w:numId w:val="22"/>
        </w:numPr>
        <w:rPr>
          <w:rStyle w:val="normaltextrun"/>
        </w:rPr>
      </w:pPr>
      <w:r>
        <w:rPr>
          <w:rStyle w:val="normaltextrun"/>
        </w:rPr>
        <w:t>Fundraising events</w:t>
      </w:r>
    </w:p>
    <w:p w14:paraId="0BA4D57B" w14:textId="653348F9" w:rsidR="00011C61" w:rsidRDefault="00011C61" w:rsidP="00050FE7">
      <w:pPr>
        <w:pStyle w:val="NoSpacing"/>
        <w:numPr>
          <w:ilvl w:val="0"/>
          <w:numId w:val="22"/>
        </w:numPr>
        <w:rPr>
          <w:rStyle w:val="normaltextrun"/>
        </w:rPr>
      </w:pPr>
      <w:r>
        <w:rPr>
          <w:rStyle w:val="normaltextrun"/>
        </w:rPr>
        <w:t>One-off revenue costs such as trips and outings, without a long-term benefit</w:t>
      </w:r>
      <w:r w:rsidR="00200E01">
        <w:rPr>
          <w:rStyle w:val="normaltextrun"/>
        </w:rPr>
        <w:t xml:space="preserve"> to the community</w:t>
      </w:r>
    </w:p>
    <w:p w14:paraId="2C4EAE52" w14:textId="5186C04D" w:rsidR="00200E01" w:rsidRDefault="00200E01" w:rsidP="00200E01">
      <w:pPr>
        <w:pStyle w:val="NoSpacing"/>
        <w:numPr>
          <w:ilvl w:val="0"/>
          <w:numId w:val="22"/>
        </w:numPr>
        <w:rPr>
          <w:rStyle w:val="normaltextrun"/>
        </w:rPr>
      </w:pPr>
      <w:r>
        <w:rPr>
          <w:rStyle w:val="normaltextrun"/>
        </w:rPr>
        <w:t xml:space="preserve">Grants, bursaries and </w:t>
      </w:r>
      <w:r w:rsidR="0070600B">
        <w:rPr>
          <w:rStyle w:val="normaltextrun"/>
        </w:rPr>
        <w:t>vouchers</w:t>
      </w:r>
      <w:r>
        <w:rPr>
          <w:rStyle w:val="normaltextrun"/>
        </w:rPr>
        <w:t xml:space="preserve"> to individuals</w:t>
      </w:r>
    </w:p>
    <w:p w14:paraId="0C81D6B2" w14:textId="77777777" w:rsidR="00E101F8" w:rsidRDefault="00E101F8" w:rsidP="00E101F8">
      <w:pPr>
        <w:pStyle w:val="NoSpacing"/>
        <w:rPr>
          <w:rStyle w:val="normaltextrun"/>
          <w:color w:val="000000"/>
        </w:rPr>
      </w:pPr>
    </w:p>
    <w:p w14:paraId="28CB4E87" w14:textId="7ED974E3" w:rsidR="00E101F8" w:rsidRDefault="00E101F8" w:rsidP="00E96893">
      <w:pPr>
        <w:pStyle w:val="Heading2"/>
      </w:pPr>
      <w:bookmarkStart w:id="5" w:name="_Toc165041151"/>
      <w:r>
        <w:t>Capital Grants</w:t>
      </w:r>
      <w:bookmarkEnd w:id="5"/>
    </w:p>
    <w:p w14:paraId="4A95E78C" w14:textId="0F993FB5" w:rsidR="00767C02" w:rsidRPr="00767C02" w:rsidRDefault="00767C02" w:rsidP="00E96893">
      <w:pPr>
        <w:pStyle w:val="Heading3"/>
      </w:pPr>
      <w:r w:rsidRPr="00767C02">
        <w:rPr>
          <w:rStyle w:val="normaltextrun"/>
        </w:rPr>
        <w:t xml:space="preserve">Level of </w:t>
      </w:r>
      <w:r>
        <w:rPr>
          <w:rStyle w:val="normaltextrun"/>
        </w:rPr>
        <w:t>G</w:t>
      </w:r>
      <w:r w:rsidRPr="00767C02">
        <w:rPr>
          <w:rStyle w:val="normaltextrun"/>
        </w:rPr>
        <w:t xml:space="preserve">rant </w:t>
      </w:r>
      <w:r>
        <w:rPr>
          <w:rStyle w:val="normaltextrun"/>
        </w:rPr>
        <w:t>A</w:t>
      </w:r>
      <w:r w:rsidRPr="00767C02">
        <w:rPr>
          <w:rStyle w:val="normaltextrun"/>
        </w:rPr>
        <w:t>id</w:t>
      </w:r>
    </w:p>
    <w:p w14:paraId="73E0D43A" w14:textId="74786F8D" w:rsidR="00767C02" w:rsidRPr="00767FEE" w:rsidRDefault="00767C02" w:rsidP="00767C02">
      <w:pPr>
        <w:spacing w:before="240"/>
        <w:jc w:val="both"/>
      </w:pPr>
      <w:r>
        <w:t>Capital Grants are available to</w:t>
      </w:r>
      <w:r w:rsidRPr="00767FEE">
        <w:t xml:space="preserve"> up to </w:t>
      </w:r>
      <w:r>
        <w:t>100</w:t>
      </w:r>
      <w:r w:rsidRPr="00767FEE">
        <w:t xml:space="preserve">% of total project costs </w:t>
      </w:r>
      <w:r>
        <w:t xml:space="preserve">to </w:t>
      </w:r>
      <w:r w:rsidRPr="00767FEE">
        <w:t>a maximum grant of £</w:t>
      </w:r>
      <w:r>
        <w:t xml:space="preserve">10,000. </w:t>
      </w:r>
      <w:r w:rsidRPr="00767FEE">
        <w:t xml:space="preserve"> </w:t>
      </w:r>
      <w:r w:rsidR="000C538A">
        <w:t xml:space="preserve">Successful Capital Grant recipients </w:t>
      </w:r>
      <w:r w:rsidR="001404A7">
        <w:t>cannot re-apply in the same financial year as</w:t>
      </w:r>
      <w:r w:rsidR="000C538A">
        <w:t xml:space="preserve"> a </w:t>
      </w:r>
      <w:r w:rsidR="00510A56">
        <w:t>previously successful award</w:t>
      </w:r>
      <w:r w:rsidRPr="00767FEE">
        <w:t xml:space="preserve">. Applicants will be expected to explore other avenues of grant funding. </w:t>
      </w:r>
      <w:r>
        <w:t xml:space="preserve"> </w:t>
      </w:r>
      <w:r w:rsidRPr="00767FEE">
        <w:t xml:space="preserve">Assistance with </w:t>
      </w:r>
      <w:r w:rsidR="008274DC">
        <w:t>additional</w:t>
      </w:r>
      <w:r w:rsidRPr="00767FEE">
        <w:t xml:space="preserve"> sources of funding can be obtained from </w:t>
      </w:r>
      <w:r>
        <w:t>our grants team.</w:t>
      </w:r>
    </w:p>
    <w:p w14:paraId="133AA444" w14:textId="3C89FB26" w:rsidR="00767C02" w:rsidRDefault="00767C02" w:rsidP="00767C02">
      <w:pPr>
        <w:spacing w:before="240"/>
        <w:jc w:val="both"/>
      </w:pPr>
      <w:r>
        <w:t xml:space="preserve">Funding will be made available </w:t>
      </w:r>
      <w:r w:rsidR="00EE557E">
        <w:t>across</w:t>
      </w:r>
      <w:r>
        <w:t xml:space="preserve"> three </w:t>
      </w:r>
      <w:r w:rsidR="00EE557E">
        <w:t xml:space="preserve">application </w:t>
      </w:r>
      <w:r>
        <w:t>windows per financial year.</w:t>
      </w:r>
    </w:p>
    <w:p w14:paraId="10BBDB0D" w14:textId="7BC31663" w:rsidR="00767C02" w:rsidRPr="008274DC" w:rsidRDefault="00767C02" w:rsidP="008274DC">
      <w:pPr>
        <w:pStyle w:val="paragraph"/>
        <w:spacing w:before="240" w:beforeAutospacing="0" w:after="0" w:afterAutospacing="0"/>
        <w:textAlignment w:val="baseline"/>
        <w:rPr>
          <w:rFonts w:ascii="Arial" w:hAnsi="Arial" w:cs="Arial"/>
        </w:rPr>
      </w:pPr>
      <w:r w:rsidRPr="00767FEE">
        <w:rPr>
          <w:rFonts w:ascii="Arial" w:hAnsi="Arial" w:cs="Arial"/>
        </w:rPr>
        <w:t xml:space="preserve">This </w:t>
      </w:r>
      <w:r>
        <w:rPr>
          <w:rFonts w:ascii="Arial" w:hAnsi="Arial" w:cs="Arial"/>
        </w:rPr>
        <w:t xml:space="preserve">grant </w:t>
      </w:r>
      <w:r w:rsidRPr="00767FEE">
        <w:rPr>
          <w:rFonts w:ascii="Arial" w:hAnsi="Arial" w:cs="Arial"/>
        </w:rPr>
        <w:t>seeks to assist those areas that are disadvantaged in terms of the provision of support services</w:t>
      </w:r>
      <w:r>
        <w:rPr>
          <w:rFonts w:ascii="Arial" w:hAnsi="Arial" w:cs="Arial"/>
        </w:rPr>
        <w:t xml:space="preserve"> with i</w:t>
      </w:r>
      <w:r>
        <w:rPr>
          <w:rStyle w:val="normaltextrun"/>
          <w:rFonts w:ascii="Arial" w:hAnsi="Arial" w:cs="Arial"/>
          <w:color w:val="000000"/>
          <w:shd w:val="clear" w:color="auto" w:fill="FFFFFF"/>
        </w:rPr>
        <w:t xml:space="preserve">mprovements and repairs to existing and provision of new social infrastructure.  </w:t>
      </w:r>
      <w:r>
        <w:rPr>
          <w:rStyle w:val="normaltextrun"/>
          <w:rFonts w:ascii="Arial" w:hAnsi="Arial" w:cs="Arial"/>
          <w:color w:val="000000"/>
        </w:rPr>
        <w:t xml:space="preserve">Projects or activities need to clearly evidence their need for support and should be able to evidence community consultation or engagement. </w:t>
      </w:r>
    </w:p>
    <w:p w14:paraId="11CF3919" w14:textId="00876ACA" w:rsidR="00767C02" w:rsidRPr="00B31051" w:rsidRDefault="00767C02" w:rsidP="00E96893">
      <w:pPr>
        <w:pStyle w:val="Heading3"/>
      </w:pPr>
      <w:r w:rsidRPr="00B31051">
        <w:rPr>
          <w:rStyle w:val="normaltextrun"/>
        </w:rPr>
        <w:t xml:space="preserve">Examples of Eligible </w:t>
      </w:r>
      <w:r w:rsidR="00B31051">
        <w:rPr>
          <w:rStyle w:val="normaltextrun"/>
        </w:rPr>
        <w:t>P</w:t>
      </w:r>
      <w:r w:rsidRPr="00B31051">
        <w:rPr>
          <w:rStyle w:val="normaltextrun"/>
        </w:rPr>
        <w:t>rojects</w:t>
      </w:r>
      <w:r w:rsidRPr="00B31051">
        <w:rPr>
          <w:rStyle w:val="eop"/>
        </w:rPr>
        <w:t> </w:t>
      </w:r>
    </w:p>
    <w:p w14:paraId="55CE3079" w14:textId="01820B74" w:rsidR="00767C02" w:rsidRPr="00767FEE" w:rsidRDefault="00767C02" w:rsidP="00331272">
      <w:pPr>
        <w:pStyle w:val="NoSpacing"/>
        <w:numPr>
          <w:ilvl w:val="0"/>
          <w:numId w:val="9"/>
        </w:numPr>
      </w:pPr>
      <w:r w:rsidRPr="00767FEE">
        <w:t>Provision of new multi-functional village hall</w:t>
      </w:r>
      <w:r>
        <w:t xml:space="preserve"> or community centre</w:t>
      </w:r>
      <w:r w:rsidRPr="00767FEE">
        <w:t xml:space="preserve"> facilities or capital </w:t>
      </w:r>
      <w:r w:rsidRPr="00E555F3">
        <w:t>improvements to existing facilities to provide greater benefits</w:t>
      </w:r>
      <w:r w:rsidRPr="00767FEE">
        <w:t xml:space="preserve"> and opportunities to local residents</w:t>
      </w:r>
    </w:p>
    <w:p w14:paraId="62267B3B" w14:textId="439335C1" w:rsidR="00767C02" w:rsidRDefault="00767C02" w:rsidP="00331272">
      <w:pPr>
        <w:pStyle w:val="NoSpacing"/>
        <w:numPr>
          <w:ilvl w:val="0"/>
          <w:numId w:val="9"/>
        </w:numPr>
      </w:pPr>
      <w:r w:rsidRPr="00767FEE">
        <w:t>Setting up or redevelopment of play areas and equipment</w:t>
      </w:r>
    </w:p>
    <w:p w14:paraId="0116EE6B" w14:textId="33502D79" w:rsidR="003179A5" w:rsidRPr="00767FEE" w:rsidRDefault="003179A5" w:rsidP="00331272">
      <w:pPr>
        <w:pStyle w:val="NoSpacing"/>
        <w:numPr>
          <w:ilvl w:val="0"/>
          <w:numId w:val="9"/>
        </w:numPr>
      </w:pPr>
      <w:r>
        <w:t>Provision of outdoor sports equipment such as football goals and Multi Use Games Areas (MUGAs)</w:t>
      </w:r>
    </w:p>
    <w:p w14:paraId="79526823" w14:textId="234906B6" w:rsidR="00767C02" w:rsidRPr="00767FEE" w:rsidRDefault="00767C02" w:rsidP="00331272">
      <w:pPr>
        <w:pStyle w:val="NoSpacing"/>
        <w:numPr>
          <w:ilvl w:val="0"/>
          <w:numId w:val="9"/>
        </w:numPr>
      </w:pPr>
      <w:r w:rsidRPr="00767FEE">
        <w:t xml:space="preserve">Provision of new </w:t>
      </w:r>
      <w:r w:rsidR="00DB736A">
        <w:t xml:space="preserve">and repairs to existing </w:t>
      </w:r>
      <w:r w:rsidRPr="00767FEE">
        <w:t>recreation facilities and sports equipment</w:t>
      </w:r>
    </w:p>
    <w:p w14:paraId="69720185" w14:textId="77777777" w:rsidR="00767C02" w:rsidRDefault="00767C02" w:rsidP="00331272">
      <w:pPr>
        <w:pStyle w:val="NoSpacing"/>
        <w:numPr>
          <w:ilvl w:val="0"/>
          <w:numId w:val="9"/>
        </w:numPr>
      </w:pPr>
      <w:r w:rsidRPr="00767FEE">
        <w:t xml:space="preserve">Projects providing </w:t>
      </w:r>
      <w:r>
        <w:t>upgrades to IT infrastructure within community centres and village halls</w:t>
      </w:r>
    </w:p>
    <w:p w14:paraId="509AF7E4" w14:textId="3166405B" w:rsidR="00DB736A" w:rsidRPr="00767FEE" w:rsidRDefault="00DB736A" w:rsidP="00331272">
      <w:pPr>
        <w:pStyle w:val="NoSpacing"/>
        <w:numPr>
          <w:ilvl w:val="0"/>
          <w:numId w:val="9"/>
        </w:numPr>
      </w:pPr>
      <w:r>
        <w:t>Improvements to youth settings such as Scout Huts</w:t>
      </w:r>
    </w:p>
    <w:p w14:paraId="55B1406E" w14:textId="77777777" w:rsidR="00767C02" w:rsidRPr="00767FEE" w:rsidRDefault="00767C02" w:rsidP="00331272">
      <w:pPr>
        <w:pStyle w:val="NoSpacing"/>
        <w:numPr>
          <w:ilvl w:val="0"/>
          <w:numId w:val="9"/>
        </w:numPr>
      </w:pPr>
      <w:r w:rsidRPr="00767FEE">
        <w:t xml:space="preserve">Supporting the provision of </w:t>
      </w:r>
      <w:r>
        <w:t>community transport schemes</w:t>
      </w:r>
    </w:p>
    <w:p w14:paraId="4198F6AB" w14:textId="34C6088E" w:rsidR="00767C02" w:rsidRPr="00767FEE" w:rsidRDefault="00767C02" w:rsidP="00331272">
      <w:pPr>
        <w:pStyle w:val="NoSpacing"/>
        <w:numPr>
          <w:ilvl w:val="0"/>
          <w:numId w:val="9"/>
        </w:numPr>
      </w:pPr>
      <w:r w:rsidRPr="00767FEE">
        <w:t xml:space="preserve">Projects which conserve, protect or enhance the environment – e.g. </w:t>
      </w:r>
      <w:r>
        <w:t xml:space="preserve">tree </w:t>
      </w:r>
      <w:r w:rsidRPr="00767FEE">
        <w:t>planting, landscape screening, community woodlands, pond clearance</w:t>
      </w:r>
    </w:p>
    <w:p w14:paraId="089E8F6B" w14:textId="273E2255" w:rsidR="00AF5DB6" w:rsidRPr="00E96893" w:rsidRDefault="00AF5DB6" w:rsidP="00E96893">
      <w:pPr>
        <w:pStyle w:val="Heading2"/>
      </w:pPr>
      <w:bookmarkStart w:id="6" w:name="_Toc165041152"/>
      <w:r w:rsidRPr="00E96893">
        <w:lastRenderedPageBreak/>
        <w:t>Revenue Grants</w:t>
      </w:r>
      <w:bookmarkEnd w:id="6"/>
    </w:p>
    <w:p w14:paraId="031218AF" w14:textId="77777777" w:rsidR="00D556F1" w:rsidRDefault="008D62A0" w:rsidP="00AF5DB6">
      <w:r w:rsidRPr="009365E3">
        <w:t xml:space="preserve">Revenue </w:t>
      </w:r>
      <w:r w:rsidR="00850693">
        <w:t xml:space="preserve">Grants are yearly Grants awarded towards an organisation’s core running costs, such as salaries or administrative costs. </w:t>
      </w:r>
    </w:p>
    <w:p w14:paraId="6CBAF07B" w14:textId="77777777" w:rsidR="00D556F1" w:rsidRDefault="00D556F1" w:rsidP="00AF5DB6"/>
    <w:p w14:paraId="219583AA" w14:textId="3783B9E6" w:rsidR="00AF5DB6" w:rsidRDefault="00CB69EF" w:rsidP="00AF5DB6">
      <w:r>
        <w:t>F</w:t>
      </w:r>
      <w:r w:rsidR="00D556F1">
        <w:t xml:space="preserve">unding is limited to organisations which can demonstrate community benefits delivered to a larger area </w:t>
      </w:r>
      <w:r w:rsidR="00344A4E">
        <w:t>than a specific village or Parish</w:t>
      </w:r>
      <w:r w:rsidR="00446F8F">
        <w:t xml:space="preserve"> within Babergh and/or Mid Suffolk</w:t>
      </w:r>
      <w:r w:rsidR="00344A4E">
        <w:t xml:space="preserve">. </w:t>
      </w:r>
      <w:r w:rsidR="008D62A0" w:rsidRPr="009365E3">
        <w:t xml:space="preserve"> </w:t>
      </w:r>
    </w:p>
    <w:p w14:paraId="049B9C28" w14:textId="77777777" w:rsidR="006B2DEE" w:rsidRDefault="006B2DEE" w:rsidP="00AF5DB6"/>
    <w:p w14:paraId="735F8131" w14:textId="54D42A3C" w:rsidR="00502FB5" w:rsidRDefault="00502FB5" w:rsidP="00502FB5">
      <w:r>
        <w:t>Costs which can be applied for can include the following:</w:t>
      </w:r>
    </w:p>
    <w:p w14:paraId="31EC18AE" w14:textId="77777777" w:rsidR="00502FB5" w:rsidRDefault="00502FB5" w:rsidP="00502FB5">
      <w:r>
        <w:t xml:space="preserve"> </w:t>
      </w:r>
    </w:p>
    <w:p w14:paraId="497BA9FF" w14:textId="77777777" w:rsidR="00502FB5" w:rsidRDefault="00502FB5" w:rsidP="00502FB5">
      <w:pPr>
        <w:pStyle w:val="ListParagraph"/>
        <w:numPr>
          <w:ilvl w:val="0"/>
          <w:numId w:val="26"/>
        </w:numPr>
      </w:pPr>
      <w:r>
        <w:t>Management and administration</w:t>
      </w:r>
    </w:p>
    <w:p w14:paraId="28356CDC" w14:textId="77777777" w:rsidR="00502FB5" w:rsidRDefault="00502FB5" w:rsidP="00502FB5">
      <w:pPr>
        <w:pStyle w:val="ListParagraph"/>
        <w:numPr>
          <w:ilvl w:val="0"/>
          <w:numId w:val="26"/>
        </w:numPr>
      </w:pPr>
      <w:r>
        <w:t>HR and payroll</w:t>
      </w:r>
    </w:p>
    <w:p w14:paraId="249E09DE" w14:textId="77777777" w:rsidR="00502FB5" w:rsidRDefault="00502FB5" w:rsidP="00502FB5">
      <w:pPr>
        <w:pStyle w:val="ListParagraph"/>
        <w:numPr>
          <w:ilvl w:val="0"/>
          <w:numId w:val="26"/>
        </w:numPr>
      </w:pPr>
      <w:r>
        <w:t>General office expenses</w:t>
      </w:r>
    </w:p>
    <w:p w14:paraId="5DED4A3C" w14:textId="77777777" w:rsidR="00502FB5" w:rsidRDefault="00502FB5" w:rsidP="00502FB5">
      <w:pPr>
        <w:pStyle w:val="ListParagraph"/>
        <w:numPr>
          <w:ilvl w:val="0"/>
          <w:numId w:val="26"/>
        </w:numPr>
      </w:pPr>
      <w:r>
        <w:t>Accountancy and audit</w:t>
      </w:r>
    </w:p>
    <w:p w14:paraId="7345CFA9" w14:textId="77777777" w:rsidR="00502FB5" w:rsidRDefault="00502FB5" w:rsidP="00502FB5">
      <w:pPr>
        <w:pStyle w:val="ListParagraph"/>
        <w:numPr>
          <w:ilvl w:val="0"/>
          <w:numId w:val="26"/>
        </w:numPr>
      </w:pPr>
      <w:r>
        <w:t>Communications and outreach</w:t>
      </w:r>
    </w:p>
    <w:p w14:paraId="583C8DDD" w14:textId="77777777" w:rsidR="00502FB5" w:rsidRDefault="00502FB5" w:rsidP="00502FB5">
      <w:pPr>
        <w:pStyle w:val="ListParagraph"/>
        <w:numPr>
          <w:ilvl w:val="0"/>
          <w:numId w:val="26"/>
        </w:numPr>
      </w:pPr>
      <w:r>
        <w:t>Monitoring, evaluation, and learning</w:t>
      </w:r>
    </w:p>
    <w:p w14:paraId="4CF57A2B" w14:textId="261B40B6" w:rsidR="00502FB5" w:rsidRDefault="00502FB5" w:rsidP="00502FB5">
      <w:pPr>
        <w:pStyle w:val="ListParagraph"/>
        <w:numPr>
          <w:ilvl w:val="0"/>
          <w:numId w:val="26"/>
        </w:numPr>
      </w:pPr>
      <w:r>
        <w:t>Governance, regulatory, and compliance costs</w:t>
      </w:r>
    </w:p>
    <w:p w14:paraId="1598F9C0" w14:textId="31BFE724" w:rsidR="00446F8F" w:rsidRDefault="00446F8F" w:rsidP="00502FB5">
      <w:pPr>
        <w:pStyle w:val="ListParagraph"/>
        <w:numPr>
          <w:ilvl w:val="0"/>
          <w:numId w:val="26"/>
        </w:numPr>
      </w:pPr>
      <w:r>
        <w:t>Facility and energy costs</w:t>
      </w:r>
    </w:p>
    <w:p w14:paraId="7C2E483E" w14:textId="77777777" w:rsidR="00502FB5" w:rsidRDefault="00502FB5" w:rsidP="00AF5DB6"/>
    <w:p w14:paraId="6304F474" w14:textId="07B8BB9B" w:rsidR="00446F8F" w:rsidRDefault="002B01A1" w:rsidP="00AF5DB6">
      <w:r>
        <w:t>Ineligible costs include the following</w:t>
      </w:r>
      <w:r w:rsidR="004234EA">
        <w:t>:</w:t>
      </w:r>
    </w:p>
    <w:p w14:paraId="581BEF60" w14:textId="77777777" w:rsidR="002B01A1" w:rsidRDefault="002B01A1" w:rsidP="00AF5DB6"/>
    <w:p w14:paraId="1CEC55F1" w14:textId="49C43882" w:rsidR="002B01A1" w:rsidRDefault="002B01A1" w:rsidP="002B01A1">
      <w:pPr>
        <w:pStyle w:val="ListParagraph"/>
        <w:numPr>
          <w:ilvl w:val="0"/>
          <w:numId w:val="27"/>
        </w:numPr>
      </w:pPr>
      <w:r>
        <w:t>Events</w:t>
      </w:r>
      <w:r w:rsidR="004234EA">
        <w:t xml:space="preserve"> such as fayres, festivals and fun days</w:t>
      </w:r>
    </w:p>
    <w:p w14:paraId="71374FD8" w14:textId="14E4B0DB" w:rsidR="001937DB" w:rsidRDefault="00265033" w:rsidP="001937DB">
      <w:pPr>
        <w:pStyle w:val="ListParagraph"/>
        <w:numPr>
          <w:ilvl w:val="0"/>
          <w:numId w:val="27"/>
        </w:numPr>
      </w:pPr>
      <w:r>
        <w:t>Purchase of equipment or capital costs</w:t>
      </w:r>
      <w:r w:rsidR="001937DB" w:rsidRPr="001937DB">
        <w:t xml:space="preserve"> </w:t>
      </w:r>
    </w:p>
    <w:p w14:paraId="5FD1B69D" w14:textId="77777777" w:rsidR="001937DB" w:rsidRDefault="001937DB" w:rsidP="001937DB">
      <w:pPr>
        <w:ind w:left="360"/>
      </w:pPr>
    </w:p>
    <w:p w14:paraId="0E697A63" w14:textId="5F91F7D4" w:rsidR="00265033" w:rsidRDefault="001937DB" w:rsidP="001937DB">
      <w:r>
        <w:t>Parish and Town Councils are ineligible to apply for Revenue Grants</w:t>
      </w:r>
      <w:r w:rsidR="00CB69EF">
        <w:t>.</w:t>
      </w:r>
    </w:p>
    <w:p w14:paraId="3BF1A4E4" w14:textId="1F6B2C4B" w:rsidR="008D62A0" w:rsidRDefault="008D62A0" w:rsidP="00E96893">
      <w:pPr>
        <w:pStyle w:val="Heading2"/>
      </w:pPr>
      <w:bookmarkStart w:id="7" w:name="_Toc165041153"/>
      <w:r>
        <w:t>Section 106</w:t>
      </w:r>
      <w:bookmarkEnd w:id="7"/>
    </w:p>
    <w:p w14:paraId="5773BDA7" w14:textId="4866DAA0" w:rsidR="002808DF" w:rsidRDefault="002808DF" w:rsidP="008D62A0">
      <w:r>
        <w:t>Section 106</w:t>
      </w:r>
      <w:r w:rsidR="003D2F8A">
        <w:t xml:space="preserve"> (S106)</w:t>
      </w:r>
      <w:r>
        <w:t xml:space="preserve"> </w:t>
      </w:r>
      <w:r w:rsidR="00B83165">
        <w:t xml:space="preserve">is generated by </w:t>
      </w:r>
      <w:r w:rsidR="00650ECA">
        <w:t>development taking place across Babergh and Mid Suffolk and is a</w:t>
      </w:r>
      <w:r w:rsidR="00670B54">
        <w:t>vailable towards social infrastructure investment to miti</w:t>
      </w:r>
      <w:r w:rsidR="00D350EA">
        <w:t xml:space="preserve">gate the </w:t>
      </w:r>
      <w:r w:rsidR="00B07E73">
        <w:t>e</w:t>
      </w:r>
      <w:r w:rsidR="00D350EA">
        <w:t xml:space="preserve">ffects of development. </w:t>
      </w:r>
      <w:r w:rsidR="00A34475">
        <w:t xml:space="preserve">The amount </w:t>
      </w:r>
      <w:r w:rsidR="003D2F8A">
        <w:t xml:space="preserve">of S106 </w:t>
      </w:r>
      <w:r w:rsidR="00B07E73">
        <w:t>available differs depending on your project and loca</w:t>
      </w:r>
      <w:r w:rsidR="006B2DEE">
        <w:t>ti</w:t>
      </w:r>
      <w:r w:rsidR="00B07E73">
        <w:t>on</w:t>
      </w:r>
      <w:r>
        <w:t xml:space="preserve">. We can advise on what Section 106 funds are currently available within your Parish. </w:t>
      </w:r>
      <w:r w:rsidR="009B6BF0">
        <w:t xml:space="preserve">Application forms are made available once </w:t>
      </w:r>
      <w:r w:rsidR="00AB1CD7">
        <w:t>eligibility is confirmed.</w:t>
      </w:r>
    </w:p>
    <w:p w14:paraId="288D9892" w14:textId="719B879F" w:rsidR="00ED3A32" w:rsidRDefault="00ED3A32" w:rsidP="00E96893">
      <w:pPr>
        <w:pStyle w:val="Heading3"/>
      </w:pPr>
      <w:r>
        <w:t>Level of Grant Aid</w:t>
      </w:r>
    </w:p>
    <w:p w14:paraId="2DCC1A22" w14:textId="6CFD83F9" w:rsidR="00ED3A32" w:rsidRPr="00ED3A32" w:rsidRDefault="001A63A9" w:rsidP="00ED3A32">
      <w:r w:rsidRPr="00AB1C70">
        <w:t xml:space="preserve">S106 funding can cover 100% of </w:t>
      </w:r>
      <w:r>
        <w:t xml:space="preserve">eligible </w:t>
      </w:r>
      <w:r w:rsidRPr="00AB1C70">
        <w:t>project costs</w:t>
      </w:r>
      <w:r>
        <w:t>, and can be applied for alongside other Grants</w:t>
      </w:r>
      <w:r w:rsidRPr="00AB1C70">
        <w:t xml:space="preserve">. </w:t>
      </w:r>
    </w:p>
    <w:p w14:paraId="10E6A158" w14:textId="5B9F65AD" w:rsidR="00A94808" w:rsidRDefault="00FD7823" w:rsidP="00E96893">
      <w:pPr>
        <w:pStyle w:val="Heading3"/>
      </w:pPr>
      <w:r>
        <w:t>Criteria</w:t>
      </w:r>
    </w:p>
    <w:p w14:paraId="0D0C8E65" w14:textId="64AC3020" w:rsidR="00FD7823" w:rsidRPr="00AB1C70" w:rsidRDefault="00FD7823" w:rsidP="00331272">
      <w:pPr>
        <w:pStyle w:val="ListParagraph"/>
        <w:numPr>
          <w:ilvl w:val="0"/>
          <w:numId w:val="15"/>
        </w:numPr>
      </w:pPr>
      <w:r w:rsidRPr="00AB1C70">
        <w:t xml:space="preserve">All funds must be spent on </w:t>
      </w:r>
      <w:r w:rsidR="006B2DEE">
        <w:t>p</w:t>
      </w:r>
      <w:r w:rsidRPr="00AB1C70">
        <w:t xml:space="preserve">ublic land or on land that has </w:t>
      </w:r>
      <w:r w:rsidR="006B2DEE">
        <w:t>wider community access</w:t>
      </w:r>
    </w:p>
    <w:p w14:paraId="35BF656D" w14:textId="557E2DB4" w:rsidR="00FD7823" w:rsidRPr="00AB1C70" w:rsidRDefault="00FD7823" w:rsidP="00331272">
      <w:pPr>
        <w:pStyle w:val="ListParagraph"/>
        <w:numPr>
          <w:ilvl w:val="0"/>
          <w:numId w:val="12"/>
        </w:numPr>
      </w:pPr>
      <w:r w:rsidRPr="00AB1C70">
        <w:t xml:space="preserve">All applications that are not submitted by Town/Parish Councils </w:t>
      </w:r>
      <w:r>
        <w:t xml:space="preserve">must notify </w:t>
      </w:r>
      <w:r w:rsidRPr="00AB1C70">
        <w:t>the relevant Town/Parish Council</w:t>
      </w:r>
      <w:r w:rsidR="00D96931">
        <w:t xml:space="preserve">, and identify if projects feature in their local </w:t>
      </w:r>
      <w:r w:rsidR="00C31113">
        <w:t>Parish Infrastructure Investment Plan (PIIP), if applicable</w:t>
      </w:r>
    </w:p>
    <w:p w14:paraId="0AA2CAF0" w14:textId="27866CBB" w:rsidR="00FD7823" w:rsidRPr="00AB1C70" w:rsidRDefault="00FD7823" w:rsidP="00331272">
      <w:pPr>
        <w:pStyle w:val="ListParagraph"/>
        <w:numPr>
          <w:ilvl w:val="0"/>
          <w:numId w:val="12"/>
        </w:numPr>
      </w:pPr>
      <w:r>
        <w:t xml:space="preserve">Once an application is submitted, the </w:t>
      </w:r>
      <w:r w:rsidR="00ED3A32">
        <w:t xml:space="preserve">local </w:t>
      </w:r>
      <w:r>
        <w:t>District Councillor(s) will</w:t>
      </w:r>
      <w:r w:rsidR="00ED3A32">
        <w:t xml:space="preserve"> be informed.</w:t>
      </w:r>
    </w:p>
    <w:p w14:paraId="224FFF7A" w14:textId="4632113A" w:rsidR="00FD7823" w:rsidRPr="00AB1C70" w:rsidRDefault="00FD7823" w:rsidP="00331272">
      <w:pPr>
        <w:pStyle w:val="ListParagraph"/>
        <w:numPr>
          <w:ilvl w:val="0"/>
          <w:numId w:val="12"/>
        </w:numPr>
      </w:pPr>
      <w:r w:rsidRPr="00AB1C70">
        <w:t xml:space="preserve">Evidence </w:t>
      </w:r>
      <w:r w:rsidR="00ED3A32">
        <w:t>should</w:t>
      </w:r>
      <w:r w:rsidRPr="00AB1C70">
        <w:t xml:space="preserve"> be provided of consultations that have taken place with the local community and that this evidence demonstrates community support for the project</w:t>
      </w:r>
    </w:p>
    <w:p w14:paraId="7208BE30" w14:textId="77777777" w:rsidR="00FD7823" w:rsidRPr="00AB1C70" w:rsidRDefault="00FD7823" w:rsidP="00331272">
      <w:pPr>
        <w:pStyle w:val="ListParagraph"/>
        <w:numPr>
          <w:ilvl w:val="0"/>
          <w:numId w:val="12"/>
        </w:numPr>
      </w:pPr>
      <w:r w:rsidRPr="00AB1C70">
        <w:t>Any proposals should be discussed with the District Council prior to any scheme being submitted to ensure:</w:t>
      </w:r>
    </w:p>
    <w:p w14:paraId="54753398" w14:textId="77777777" w:rsidR="00FD7823" w:rsidRPr="00AB1C70" w:rsidRDefault="00FD7823" w:rsidP="00331272">
      <w:pPr>
        <w:pStyle w:val="ListParagraph"/>
        <w:numPr>
          <w:ilvl w:val="0"/>
          <w:numId w:val="13"/>
        </w:numPr>
      </w:pPr>
      <w:r w:rsidRPr="00AB1C70">
        <w:t>The application/project qualifies for funding</w:t>
      </w:r>
    </w:p>
    <w:p w14:paraId="2F49274F" w14:textId="77777777" w:rsidR="00FD7823" w:rsidRPr="00AB1C70" w:rsidRDefault="00FD7823" w:rsidP="00331272">
      <w:pPr>
        <w:pStyle w:val="ListParagraph"/>
        <w:numPr>
          <w:ilvl w:val="0"/>
          <w:numId w:val="13"/>
        </w:numPr>
      </w:pPr>
      <w:r w:rsidRPr="00AB1C70">
        <w:t>To determine whether the project requires planning permission</w:t>
      </w:r>
    </w:p>
    <w:p w14:paraId="2475DA6B" w14:textId="7724AFEE" w:rsidR="00FD7823" w:rsidRPr="00AB1C70" w:rsidRDefault="00FD7823" w:rsidP="00331272">
      <w:pPr>
        <w:pStyle w:val="ListParagraph"/>
        <w:numPr>
          <w:ilvl w:val="0"/>
          <w:numId w:val="13"/>
        </w:numPr>
      </w:pPr>
      <w:r w:rsidRPr="00AB1C70">
        <w:t>The project meets the Council’s protocol relating to distances between community facilities and residential properties</w:t>
      </w:r>
    </w:p>
    <w:p w14:paraId="5848F0BE" w14:textId="77777777" w:rsidR="00FD7823" w:rsidRPr="00AB1C70" w:rsidRDefault="00FD7823" w:rsidP="00331272">
      <w:pPr>
        <w:pStyle w:val="ListParagraph"/>
        <w:numPr>
          <w:ilvl w:val="0"/>
          <w:numId w:val="13"/>
        </w:numPr>
      </w:pPr>
      <w:r w:rsidRPr="00AB1C70">
        <w:t>Determine whether the project is suitable for the proposed site and meets the needs of the community</w:t>
      </w:r>
    </w:p>
    <w:p w14:paraId="014899DF" w14:textId="60B0BBE2" w:rsidR="00FD7823" w:rsidRPr="00AB1C70" w:rsidRDefault="00FD7823" w:rsidP="00331272">
      <w:pPr>
        <w:pStyle w:val="ListParagraph"/>
        <w:numPr>
          <w:ilvl w:val="0"/>
          <w:numId w:val="14"/>
        </w:numPr>
      </w:pPr>
      <w:r w:rsidRPr="00AB1C70">
        <w:lastRenderedPageBreak/>
        <w:t xml:space="preserve">The </w:t>
      </w:r>
      <w:r w:rsidR="00797896">
        <w:t xml:space="preserve">applicant </w:t>
      </w:r>
      <w:r w:rsidR="00F456C4">
        <w:t>is required to have sourced</w:t>
      </w:r>
      <w:r w:rsidRPr="00AB1C70">
        <w:t xml:space="preserve"> a minimum of three competitive quot</w:t>
      </w:r>
      <w:r w:rsidR="00797896">
        <w:t>es for each aspect of the project</w:t>
      </w:r>
    </w:p>
    <w:p w14:paraId="2F7FABA2" w14:textId="512A594D" w:rsidR="00FD7823" w:rsidRPr="00AB1C70" w:rsidRDefault="00FD7823" w:rsidP="00331272">
      <w:pPr>
        <w:pStyle w:val="ListParagraph"/>
        <w:numPr>
          <w:ilvl w:val="0"/>
          <w:numId w:val="14"/>
        </w:numPr>
      </w:pPr>
      <w:r w:rsidRPr="00AB1C70">
        <w:t xml:space="preserve">Payments will normally be made </w:t>
      </w:r>
      <w:r w:rsidR="00ED3A32">
        <w:t>up</w:t>
      </w:r>
      <w:r w:rsidRPr="00AB1C70">
        <w:t>on receipt of copies of invoices</w:t>
      </w:r>
    </w:p>
    <w:p w14:paraId="60FA23BD" w14:textId="48033D80" w:rsidR="00EA78A8" w:rsidRPr="00AB1C70" w:rsidRDefault="00CB7D38" w:rsidP="00E96893">
      <w:pPr>
        <w:pStyle w:val="Heading3"/>
      </w:pPr>
      <w:r>
        <w:t>Eligible Projects – Mid Suffolk</w:t>
      </w:r>
    </w:p>
    <w:p w14:paraId="4787B222" w14:textId="306706BF" w:rsidR="004852A9" w:rsidRDefault="004852A9" w:rsidP="004852A9">
      <w:r>
        <w:t xml:space="preserve">Unless a Specific Obligation deems otherwise, Mid Suffolk Section 106 is available towards indoor and outdoor </w:t>
      </w:r>
      <w:r w:rsidR="008E5FB1">
        <w:t>social infrastructure improvements, including:</w:t>
      </w:r>
    </w:p>
    <w:p w14:paraId="6F9ECFED" w14:textId="77777777" w:rsidR="006C4556" w:rsidRDefault="006C4556" w:rsidP="004852A9"/>
    <w:p w14:paraId="68946A5B" w14:textId="689216F5" w:rsidR="004A5B37" w:rsidRDefault="004A5B37" w:rsidP="00331272">
      <w:pPr>
        <w:pStyle w:val="ListParagraph"/>
        <w:numPr>
          <w:ilvl w:val="0"/>
          <w:numId w:val="17"/>
        </w:numPr>
      </w:pPr>
      <w:r>
        <w:t>Improvements t</w:t>
      </w:r>
      <w:r w:rsidR="00A81BA1">
        <w:t xml:space="preserve">o Village Halls </w:t>
      </w:r>
      <w:r w:rsidR="00F33640">
        <w:t>or Community Centres</w:t>
      </w:r>
    </w:p>
    <w:p w14:paraId="0961DDEA" w14:textId="0E4E3002" w:rsidR="00BE2A2F" w:rsidRPr="00AB1C70" w:rsidRDefault="00BE2A2F" w:rsidP="00331272">
      <w:pPr>
        <w:pStyle w:val="ListParagraph"/>
        <w:numPr>
          <w:ilvl w:val="0"/>
          <w:numId w:val="17"/>
        </w:numPr>
      </w:pPr>
      <w:r w:rsidRPr="00AB1C70">
        <w:t>Outdoor Sport – Playing pitches (including grass, artificial and synthetic surfaces for team sports at junior and senior level with changing facilities, access, dedicated car parking and necessary landscaping included)</w:t>
      </w:r>
    </w:p>
    <w:p w14:paraId="0A8B0BB0" w14:textId="77777777" w:rsidR="00BE2A2F" w:rsidRPr="00AB1C70" w:rsidRDefault="00BE2A2F" w:rsidP="00331272">
      <w:pPr>
        <w:pStyle w:val="ListParagraph"/>
        <w:numPr>
          <w:ilvl w:val="0"/>
          <w:numId w:val="17"/>
        </w:numPr>
      </w:pPr>
      <w:r w:rsidRPr="00AB1C70">
        <w:t>Outdoor Sport – Other outdoor facilities (including courts and greens, together with ancillary facilities such as changing rooms)</w:t>
      </w:r>
    </w:p>
    <w:p w14:paraId="134C22D3" w14:textId="77777777" w:rsidR="00BE2A2F" w:rsidRPr="00AB1C70" w:rsidRDefault="00BE2A2F" w:rsidP="00331272">
      <w:pPr>
        <w:pStyle w:val="ListParagraph"/>
        <w:numPr>
          <w:ilvl w:val="0"/>
          <w:numId w:val="17"/>
        </w:numPr>
      </w:pPr>
      <w:r w:rsidRPr="00AB1C70">
        <w:t>Children’s play areas</w:t>
      </w:r>
    </w:p>
    <w:p w14:paraId="6AE0C1DB" w14:textId="25D8AB65" w:rsidR="00BE2A2F" w:rsidRPr="00AB1C70" w:rsidRDefault="00BE2A2F" w:rsidP="00331272">
      <w:pPr>
        <w:pStyle w:val="ListParagraph"/>
        <w:numPr>
          <w:ilvl w:val="0"/>
          <w:numId w:val="17"/>
        </w:numPr>
      </w:pPr>
      <w:r w:rsidRPr="00AB1C70">
        <w:t>Casual or informal</w:t>
      </w:r>
      <w:r>
        <w:t xml:space="preserve"> outd</w:t>
      </w:r>
      <w:r w:rsidR="00DE5DE0">
        <w:t>oor</w:t>
      </w:r>
      <w:r w:rsidRPr="00AB1C70">
        <w:t xml:space="preserve"> space where opportunities for play and recreation are possible.</w:t>
      </w:r>
    </w:p>
    <w:p w14:paraId="1CB30414" w14:textId="53C069BB" w:rsidR="00BE2A2F" w:rsidRPr="00AB1C70" w:rsidRDefault="00BE2A2F" w:rsidP="00BE2A2F">
      <w:pPr>
        <w:pStyle w:val="ListParagraph"/>
        <w:numPr>
          <w:ilvl w:val="0"/>
          <w:numId w:val="17"/>
        </w:numPr>
      </w:pPr>
      <w:r w:rsidRPr="00AB1C70">
        <w:t>Sports halls, leisure centres and village halls, swimming pools and synthetic turf pitches (STPs)</w:t>
      </w:r>
      <w:r>
        <w:t>,</w:t>
      </w:r>
      <w:r w:rsidRPr="00AB1C70">
        <w:t xml:space="preserve"> includ</w:t>
      </w:r>
      <w:r>
        <w:t>ing</w:t>
      </w:r>
      <w:r w:rsidRPr="00AB1C70">
        <w:t xml:space="preserve"> refurbishment and enhancement of existing facilities</w:t>
      </w:r>
    </w:p>
    <w:p w14:paraId="5CAF71FC" w14:textId="2BA97C71" w:rsidR="00DE5DE0" w:rsidRDefault="00DE5DE0" w:rsidP="00E96893">
      <w:pPr>
        <w:pStyle w:val="Heading3"/>
      </w:pPr>
      <w:r>
        <w:t>Ineligible Projects</w:t>
      </w:r>
      <w:r w:rsidR="00D44884">
        <w:t xml:space="preserve"> </w:t>
      </w:r>
    </w:p>
    <w:p w14:paraId="1C6D49E0" w14:textId="17A5176F" w:rsidR="00545A09" w:rsidRPr="00AB1C70" w:rsidRDefault="00545A09" w:rsidP="00331272">
      <w:pPr>
        <w:pStyle w:val="ListParagraph"/>
        <w:numPr>
          <w:ilvl w:val="0"/>
          <w:numId w:val="18"/>
        </w:numPr>
      </w:pPr>
      <w:r w:rsidRPr="00AB1C70">
        <w:t>Projects on private land</w:t>
      </w:r>
      <w:r w:rsidR="0094235D">
        <w:t xml:space="preserve"> or without community access</w:t>
      </w:r>
    </w:p>
    <w:p w14:paraId="54BB5458" w14:textId="3380B167" w:rsidR="00545A09" w:rsidRPr="00AB1C70" w:rsidRDefault="00545A09" w:rsidP="00331272">
      <w:pPr>
        <w:pStyle w:val="ListParagraph"/>
        <w:numPr>
          <w:ilvl w:val="0"/>
          <w:numId w:val="18"/>
        </w:numPr>
      </w:pPr>
      <w:r w:rsidRPr="00AB1C70">
        <w:t>Anything not connected with recreation and/or directly related to the impact of development</w:t>
      </w:r>
    </w:p>
    <w:p w14:paraId="319F948D" w14:textId="64F8539F" w:rsidR="00545A09" w:rsidRPr="00AB1C70" w:rsidRDefault="00545A09" w:rsidP="00331272">
      <w:pPr>
        <w:pStyle w:val="ListParagraph"/>
        <w:numPr>
          <w:ilvl w:val="0"/>
          <w:numId w:val="18"/>
        </w:numPr>
      </w:pPr>
      <w:r w:rsidRPr="00AB1C70">
        <w:t>Covering the costs of legal fees, professional fees, planning/building control fees, project contingences, land</w:t>
      </w:r>
      <w:r w:rsidR="003A6BCB">
        <w:t xml:space="preserve"> purchases</w:t>
      </w:r>
      <w:r w:rsidRPr="00AB1C70">
        <w:t xml:space="preserve"> or building deposits</w:t>
      </w:r>
    </w:p>
    <w:p w14:paraId="7390FE00" w14:textId="248D05F5" w:rsidR="00545A09" w:rsidRDefault="00545A09" w:rsidP="00331272">
      <w:pPr>
        <w:pStyle w:val="ListParagraph"/>
        <w:numPr>
          <w:ilvl w:val="0"/>
          <w:numId w:val="18"/>
        </w:numPr>
      </w:pPr>
      <w:r w:rsidRPr="00AB1C70">
        <w:t>General repairs and maintenance</w:t>
      </w:r>
    </w:p>
    <w:p w14:paraId="3F5CBCB5" w14:textId="7046206A" w:rsidR="001D2537" w:rsidRPr="00AB1C70" w:rsidRDefault="002B1AF5" w:rsidP="00331272">
      <w:pPr>
        <w:pStyle w:val="ListParagraph"/>
        <w:numPr>
          <w:ilvl w:val="0"/>
          <w:numId w:val="18"/>
        </w:numPr>
      </w:pPr>
      <w:r>
        <w:t>I</w:t>
      </w:r>
      <w:r w:rsidR="001D2537" w:rsidRPr="00AB1C70">
        <w:t>nformal recreation space where opportunities for play and recreation are not possible. This includes gardens, green corridors, footpaths and cycleways, amenity green space, landscaping, woodlands, areas of natural and semi natural green space and conservation areas, which have no recreational/play value</w:t>
      </w:r>
    </w:p>
    <w:p w14:paraId="1D8ED3C9" w14:textId="77777777" w:rsidR="00DE5DE0" w:rsidRDefault="00DE5DE0" w:rsidP="00DE5DE0"/>
    <w:p w14:paraId="63FBB56E" w14:textId="2803D165" w:rsidR="00946880" w:rsidRDefault="00946880" w:rsidP="00E96893">
      <w:pPr>
        <w:pStyle w:val="Heading2"/>
      </w:pPr>
      <w:bookmarkStart w:id="8" w:name="_Toc165041154"/>
      <w:r>
        <w:t xml:space="preserve">Community </w:t>
      </w:r>
      <w:r w:rsidR="00D42262">
        <w:t>Energy and Environmental Funding</w:t>
      </w:r>
      <w:bookmarkEnd w:id="8"/>
    </w:p>
    <w:p w14:paraId="2B3012B7" w14:textId="59A1BCC7" w:rsidR="00787A72" w:rsidRDefault="00787A72" w:rsidP="00E96893">
      <w:pPr>
        <w:pStyle w:val="Heading3"/>
      </w:pPr>
      <w:r>
        <w:t>Section 106 – Eye Wind Turbines</w:t>
      </w:r>
    </w:p>
    <w:p w14:paraId="6E4AB08C" w14:textId="77777777" w:rsidR="00787A72" w:rsidRDefault="00787A72" w:rsidP="00787A72">
      <w:r>
        <w:t>Section 106 is generated on a yearly basis by the four wind turbines at Brome Industrial Park, formerly Eye Airfield. Funding is available to apply for towards projects or initiatives that promote energy conservation, biodiversity measures, promotion of renewable energy, landscaping or environmental mitigation. Eligible projects may include the following:</w:t>
      </w:r>
    </w:p>
    <w:p w14:paraId="4263E24C" w14:textId="77777777" w:rsidR="00787A72" w:rsidRDefault="00787A72" w:rsidP="00787A72"/>
    <w:p w14:paraId="0CED45C5" w14:textId="77777777" w:rsidR="00787A72" w:rsidRDefault="00787A72" w:rsidP="00787A72">
      <w:pPr>
        <w:pStyle w:val="ListParagraph"/>
        <w:numPr>
          <w:ilvl w:val="0"/>
          <w:numId w:val="20"/>
        </w:numPr>
      </w:pPr>
      <w:r>
        <w:t>Installation of energy efficiency measures or improvements within community facilities</w:t>
      </w:r>
    </w:p>
    <w:p w14:paraId="059A46F9" w14:textId="77777777" w:rsidR="00787A72" w:rsidRDefault="00787A72" w:rsidP="00787A72">
      <w:pPr>
        <w:pStyle w:val="ListParagraph"/>
        <w:numPr>
          <w:ilvl w:val="0"/>
          <w:numId w:val="20"/>
        </w:numPr>
      </w:pPr>
      <w:r>
        <w:t>Planting, hedging and other landscaping measures</w:t>
      </w:r>
    </w:p>
    <w:p w14:paraId="0AA17EF9" w14:textId="77777777" w:rsidR="00787A72" w:rsidRDefault="00787A72" w:rsidP="00787A72">
      <w:pPr>
        <w:pStyle w:val="ListParagraph"/>
        <w:numPr>
          <w:ilvl w:val="0"/>
          <w:numId w:val="20"/>
        </w:numPr>
      </w:pPr>
      <w:r>
        <w:t>Environmental improvements such as the creating of new habitats or managing of existing environments</w:t>
      </w:r>
    </w:p>
    <w:p w14:paraId="7090D8FE" w14:textId="6C9A83F9" w:rsidR="00787A72" w:rsidRPr="003C40E3" w:rsidRDefault="00787A72" w:rsidP="00787A72">
      <w:pPr>
        <w:pStyle w:val="ListParagraph"/>
        <w:numPr>
          <w:ilvl w:val="0"/>
          <w:numId w:val="20"/>
        </w:numPr>
      </w:pPr>
      <w:r>
        <w:t>Schemes which promote or contribute to the reduction of carbon emissions</w:t>
      </w:r>
    </w:p>
    <w:p w14:paraId="7FE16D7F" w14:textId="77777777" w:rsidR="00787A72" w:rsidRDefault="00787A72" w:rsidP="00787A72"/>
    <w:p w14:paraId="0632B0A1" w14:textId="77777777" w:rsidR="00787A72" w:rsidRDefault="00787A72" w:rsidP="00787A72">
      <w:r>
        <w:t>Up to £5,000 can be applied for from community groups or projects within the following parishes:</w:t>
      </w:r>
    </w:p>
    <w:p w14:paraId="61AEBDF8" w14:textId="77777777" w:rsidR="00787A72" w:rsidRDefault="00787A72" w:rsidP="00787A72"/>
    <w:p w14:paraId="07BAB6C1" w14:textId="77777777" w:rsidR="00787A72" w:rsidRDefault="00787A72" w:rsidP="00787A72">
      <w:pPr>
        <w:pStyle w:val="ListParagraph"/>
        <w:numPr>
          <w:ilvl w:val="0"/>
          <w:numId w:val="21"/>
        </w:numPr>
      </w:pPr>
      <w:r>
        <w:t>Eye</w:t>
      </w:r>
    </w:p>
    <w:p w14:paraId="2101AD8E" w14:textId="77777777" w:rsidR="00787A72" w:rsidRDefault="00787A72" w:rsidP="00787A72">
      <w:pPr>
        <w:pStyle w:val="ListParagraph"/>
        <w:numPr>
          <w:ilvl w:val="0"/>
          <w:numId w:val="21"/>
        </w:numPr>
      </w:pPr>
      <w:r>
        <w:t>Yaxley</w:t>
      </w:r>
    </w:p>
    <w:p w14:paraId="586BF734" w14:textId="77777777" w:rsidR="00787A72" w:rsidRDefault="00787A72" w:rsidP="00787A72">
      <w:pPr>
        <w:pStyle w:val="ListParagraph"/>
        <w:numPr>
          <w:ilvl w:val="0"/>
          <w:numId w:val="21"/>
        </w:numPr>
      </w:pPr>
      <w:r>
        <w:t>Mellis</w:t>
      </w:r>
    </w:p>
    <w:p w14:paraId="40F75ED5" w14:textId="77777777" w:rsidR="00787A72" w:rsidRDefault="00787A72" w:rsidP="00787A72">
      <w:pPr>
        <w:pStyle w:val="ListParagraph"/>
        <w:numPr>
          <w:ilvl w:val="0"/>
          <w:numId w:val="21"/>
        </w:numPr>
      </w:pPr>
      <w:r>
        <w:t>Brome and Oakley</w:t>
      </w:r>
    </w:p>
    <w:p w14:paraId="6CFDDC28" w14:textId="77777777" w:rsidR="00787A72" w:rsidRDefault="00787A72" w:rsidP="00787A72">
      <w:pPr>
        <w:pStyle w:val="ListParagraph"/>
        <w:numPr>
          <w:ilvl w:val="0"/>
          <w:numId w:val="21"/>
        </w:numPr>
      </w:pPr>
      <w:r>
        <w:t>Thrandeston</w:t>
      </w:r>
    </w:p>
    <w:p w14:paraId="61F3CF02" w14:textId="77777777" w:rsidR="00787A72" w:rsidRDefault="00787A72" w:rsidP="00787A72"/>
    <w:p w14:paraId="61596FE4" w14:textId="5E4AFC46" w:rsidR="00787A72" w:rsidRDefault="00AE2C8D" w:rsidP="00787A72">
      <w:r>
        <w:rPr>
          <w:noProof/>
        </w:rPr>
        <w:lastRenderedPageBreak/>
        <w:drawing>
          <wp:anchor distT="0" distB="0" distL="114300" distR="114300" simplePos="0" relativeHeight="251658240" behindDoc="0" locked="0" layoutInCell="1" allowOverlap="1" wp14:anchorId="03CDBA86" wp14:editId="19F4300C">
            <wp:simplePos x="0" y="0"/>
            <wp:positionH relativeFrom="margin">
              <wp:align>left</wp:align>
            </wp:positionH>
            <wp:positionV relativeFrom="paragraph">
              <wp:posOffset>8890</wp:posOffset>
            </wp:positionV>
            <wp:extent cx="2260600" cy="2092325"/>
            <wp:effectExtent l="0" t="0" r="6350" b="3175"/>
            <wp:wrapSquare wrapText="bothSides"/>
            <wp:docPr id="1777595062" name="Picture 1777595062" descr="Eye Wind Turbines S106 - Zone of Visual Influenc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95062" name="Picture 1" descr="Eye Wind Turbines S106 - Zone of Visual Influence Map"/>
                    <pic:cNvPicPr/>
                  </pic:nvPicPr>
                  <pic:blipFill rotWithShape="1">
                    <a:blip r:embed="rId15" cstate="print">
                      <a:extLst>
                        <a:ext uri="{28A0092B-C50C-407E-A947-70E740481C1C}">
                          <a14:useLocalDpi xmlns:a14="http://schemas.microsoft.com/office/drawing/2010/main" val="0"/>
                        </a:ext>
                      </a:extLst>
                    </a:blip>
                    <a:srcRect l="3439" t="3706"/>
                    <a:stretch/>
                  </pic:blipFill>
                  <pic:spPr bwMode="auto">
                    <a:xfrm>
                      <a:off x="0" y="0"/>
                      <a:ext cx="2296691" cy="21257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A72">
        <w:t>Additionally, groups in parishes not listed above but sited within the</w:t>
      </w:r>
      <w:r w:rsidR="00024455">
        <w:t xml:space="preserve"> Zone of Visual Influence (</w:t>
      </w:r>
      <w:r w:rsidR="008218BC">
        <w:t>left</w:t>
      </w:r>
      <w:r w:rsidR="00024455">
        <w:t>)</w:t>
      </w:r>
      <w:r w:rsidR="00787A72">
        <w:t>, 10km from the turbines, may apply for up to £1,000. We can advise on whether your project or location would be eligible and what level of Eye Wind Turbines Section 106 funds are currently available within your Parish.</w:t>
      </w:r>
      <w:r w:rsidR="00AB1CD7">
        <w:t xml:space="preserve"> </w:t>
      </w:r>
      <w:r w:rsidR="00AB1CD7">
        <w:t>Application forms are made available once eligibility is confirmed.</w:t>
      </w:r>
    </w:p>
    <w:p w14:paraId="13B22557" w14:textId="77777777" w:rsidR="00024455" w:rsidRDefault="00024455" w:rsidP="00787A72"/>
    <w:p w14:paraId="476BBA5B" w14:textId="77777777" w:rsidR="00AE2C8D" w:rsidRDefault="00AE2C8D" w:rsidP="00E96893">
      <w:pPr>
        <w:pStyle w:val="Heading2"/>
      </w:pPr>
    </w:p>
    <w:p w14:paraId="61EDDC3B" w14:textId="77777777" w:rsidR="00BB1AD4" w:rsidRDefault="00BB1AD4" w:rsidP="00BB1AD4"/>
    <w:p w14:paraId="4ED967AD" w14:textId="77777777" w:rsidR="00BB1AD4" w:rsidRDefault="00BB1AD4" w:rsidP="00BB1AD4"/>
    <w:p w14:paraId="2F367835" w14:textId="4E74282B" w:rsidR="00BB1AD4" w:rsidRDefault="00BB1AD4" w:rsidP="00BB1AD4">
      <w:pPr>
        <w:pStyle w:val="Heading3"/>
      </w:pPr>
      <w:r>
        <w:t xml:space="preserve">Progress Power </w:t>
      </w:r>
      <w:r w:rsidR="00514DFE">
        <w:t>Community Benefit Fund – COMING SOON</w:t>
      </w:r>
    </w:p>
    <w:p w14:paraId="0F6DB1BC" w14:textId="3BA3B489" w:rsidR="00116140" w:rsidRDefault="00514DFE" w:rsidP="00514DFE">
      <w:r w:rsidRPr="00514DFE">
        <w:t>This funding has been secured through the Local Government Act following an offer from Progress Power Station (gas-fired power station) on the former Eye Airfield site for an annual pot of £100,000 for 3 consecutive years. This Fund seeks to support local communities and organisations operating within the parishes of Eye, Mellis, Thrandeston, Yaxley and Brome &amp; Oakley. Applicants will be able to apply for a grant of between £250</w:t>
      </w:r>
      <w:r>
        <w:t xml:space="preserve"> and £1</w:t>
      </w:r>
      <w:r w:rsidRPr="00514DFE">
        <w:t>0,000 for projects which demonstrate a wide community benefit and are fully inclusive. Applications will be assessed three times a year by a Grants Panel and the first window w</w:t>
      </w:r>
      <w:r>
        <w:t>ill open within the 2024/25 financial year</w:t>
      </w:r>
      <w:r w:rsidRPr="00514DFE">
        <w:t xml:space="preserve">. </w:t>
      </w:r>
    </w:p>
    <w:p w14:paraId="0A3F9028" w14:textId="14ABCFAB" w:rsidR="00A27DF6" w:rsidRDefault="00AD56B8" w:rsidP="00E96893">
      <w:pPr>
        <w:pStyle w:val="Heading2"/>
      </w:pPr>
      <w:bookmarkStart w:id="9" w:name="_Toc165041155"/>
      <w:r>
        <w:t>Locality Awards</w:t>
      </w:r>
      <w:bookmarkEnd w:id="9"/>
    </w:p>
    <w:p w14:paraId="05A4A007" w14:textId="26AE54E4" w:rsidR="00AD56B8" w:rsidRPr="00AD56B8" w:rsidRDefault="00AD56B8" w:rsidP="00AD56B8">
      <w:r>
        <w:t xml:space="preserve">Locality Awards are pots of funding administered by the Communities Team which District Councillors have access to. More </w:t>
      </w:r>
      <w:r w:rsidR="00860373">
        <w:t xml:space="preserve">detailed </w:t>
      </w:r>
      <w:r>
        <w:t>information</w:t>
      </w:r>
      <w:r w:rsidR="00DC43E7">
        <w:t>,</w:t>
      </w:r>
      <w:r>
        <w:t xml:space="preserve"> criteria</w:t>
      </w:r>
      <w:r w:rsidR="00DC43E7">
        <w:t xml:space="preserve"> and applications forms</w:t>
      </w:r>
      <w:r w:rsidR="00DA2813">
        <w:t xml:space="preserve"> can be found on our website</w:t>
      </w:r>
      <w:r w:rsidR="002849C7">
        <w:t xml:space="preserve"> – find out more about Locality Awards in</w:t>
      </w:r>
      <w:hyperlink r:id="rId16" w:history="1">
        <w:r w:rsidR="002849C7" w:rsidRPr="002849C7">
          <w:rPr>
            <w:rStyle w:val="Hyperlink"/>
          </w:rPr>
          <w:t xml:space="preserve"> Babergh</w:t>
        </w:r>
      </w:hyperlink>
      <w:r w:rsidR="002849C7">
        <w:t xml:space="preserve"> or </w:t>
      </w:r>
      <w:hyperlink r:id="rId17" w:history="1">
        <w:r w:rsidR="002849C7" w:rsidRPr="002849C7">
          <w:rPr>
            <w:rStyle w:val="Hyperlink"/>
          </w:rPr>
          <w:t>Mid Suffolk</w:t>
        </w:r>
      </w:hyperlink>
      <w:r w:rsidR="00DA2813">
        <w:t>.</w:t>
      </w:r>
    </w:p>
    <w:p w14:paraId="7261A625" w14:textId="50AD7956" w:rsidR="008E198A" w:rsidRDefault="008E198A" w:rsidP="00E96893">
      <w:pPr>
        <w:pStyle w:val="Heading2"/>
      </w:pPr>
      <w:bookmarkStart w:id="10" w:name="_Toc165041156"/>
      <w:r>
        <w:t>One-off Grants</w:t>
      </w:r>
      <w:bookmarkEnd w:id="10"/>
    </w:p>
    <w:p w14:paraId="7B6E4C3A" w14:textId="6A967706" w:rsidR="00571543" w:rsidRDefault="008E198A" w:rsidP="008E198A">
      <w:r>
        <w:t xml:space="preserve">Within the Grants Team we also administer ‘one-off’ Grants which </w:t>
      </w:r>
      <w:r w:rsidR="00571543">
        <w:t xml:space="preserve">are available for a limited amount of time. This currently includes the Food Security Fund, for which guidance can be found separately on our website. </w:t>
      </w:r>
    </w:p>
    <w:p w14:paraId="0A176EA5" w14:textId="77777777" w:rsidR="00571543" w:rsidRDefault="00571543" w:rsidP="008E198A"/>
    <w:p w14:paraId="517046AE" w14:textId="6EF84D89" w:rsidR="00571543" w:rsidRDefault="00571543" w:rsidP="008E198A">
      <w:r>
        <w:t xml:space="preserve">Previously, these Grants have included Small Grants, IP14 Wellbeing Fund, Living Well in Winter Grants, </w:t>
      </w:r>
      <w:r w:rsidR="0068483C">
        <w:t>Community Restart and the VCFSE Resilience Fund.</w:t>
      </w:r>
    </w:p>
    <w:p w14:paraId="1635EE12" w14:textId="272FD06E" w:rsidR="003E5C35" w:rsidRDefault="003E5C35" w:rsidP="00E96893">
      <w:pPr>
        <w:pStyle w:val="Heading2"/>
      </w:pPr>
      <w:bookmarkStart w:id="11" w:name="_Toc165041157"/>
      <w:r>
        <w:t>External Funding</w:t>
      </w:r>
      <w:bookmarkEnd w:id="11"/>
    </w:p>
    <w:p w14:paraId="7DBF7047" w14:textId="783A2953" w:rsidR="003E5C35" w:rsidRDefault="003E5C35" w:rsidP="003E5C35">
      <w:r>
        <w:t>The Grants Team can assist in signposting your organisation to internal and external funding opportunities locally, regionally and nationally. Funding organisations we frequently signpost to include:</w:t>
      </w:r>
    </w:p>
    <w:p w14:paraId="6A503F53" w14:textId="03570B57" w:rsidR="003E5C35" w:rsidRDefault="003E5C35" w:rsidP="00331272">
      <w:pPr>
        <w:pStyle w:val="ListParagraph"/>
        <w:numPr>
          <w:ilvl w:val="0"/>
          <w:numId w:val="19"/>
        </w:numPr>
      </w:pPr>
      <w:r>
        <w:t>Community Action Suffolk</w:t>
      </w:r>
    </w:p>
    <w:p w14:paraId="3D5AC6B9" w14:textId="4405E513" w:rsidR="003E5C35" w:rsidRDefault="003E5C35" w:rsidP="00331272">
      <w:pPr>
        <w:pStyle w:val="ListParagraph"/>
        <w:numPr>
          <w:ilvl w:val="0"/>
          <w:numId w:val="19"/>
        </w:numPr>
      </w:pPr>
      <w:r>
        <w:t>Suffolk Community Foundation</w:t>
      </w:r>
    </w:p>
    <w:p w14:paraId="3131D369" w14:textId="297BCF52" w:rsidR="003E5C35" w:rsidRDefault="00392DF9" w:rsidP="00331272">
      <w:pPr>
        <w:pStyle w:val="ListParagraph"/>
        <w:numPr>
          <w:ilvl w:val="0"/>
          <w:numId w:val="19"/>
        </w:numPr>
      </w:pPr>
      <w:r>
        <w:t>Landfill Tax Credit Providers</w:t>
      </w:r>
    </w:p>
    <w:p w14:paraId="0DCD41A7" w14:textId="697DCBD0" w:rsidR="00392DF9" w:rsidRDefault="00392DF9" w:rsidP="00331272">
      <w:pPr>
        <w:pStyle w:val="ListParagraph"/>
        <w:numPr>
          <w:ilvl w:val="0"/>
          <w:numId w:val="19"/>
        </w:numPr>
      </w:pPr>
      <w:r>
        <w:t>Community Infrastructure Levy</w:t>
      </w:r>
    </w:p>
    <w:p w14:paraId="54B9202C" w14:textId="698A3435" w:rsidR="00392DF9" w:rsidRDefault="00392DF9" w:rsidP="00392DF9"/>
    <w:p w14:paraId="7601CC63" w14:textId="3CAE7853" w:rsidR="00392DF9" w:rsidRDefault="00392DF9" w:rsidP="00392DF9">
      <w:pPr>
        <w:pStyle w:val="Heading1"/>
      </w:pPr>
      <w:bookmarkStart w:id="12" w:name="_Toc165041158"/>
      <w:r>
        <w:t>Contact</w:t>
      </w:r>
      <w:bookmarkEnd w:id="1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8" w:history="1">
        <w:r w:rsidR="00392DF9" w:rsidRPr="00F8322D">
          <w:rPr>
            <w:rStyle w:val="Hyperlink"/>
          </w:rPr>
          <w:t>BMSDCGrants@baberghmidsuffolk.gov.uk</w:t>
        </w:r>
      </w:hyperlink>
      <w:r w:rsidR="00DA4026">
        <w:rPr>
          <w:rStyle w:val="Hyperlink"/>
        </w:rPr>
        <w:t>.</w:t>
      </w:r>
    </w:p>
    <w:sectPr w:rsidR="00392DF9" w:rsidRPr="00392DF9" w:rsidSect="008A310A">
      <w:headerReference w:type="first" r:id="rId19"/>
      <w:footerReference w:type="first" r:id="rId20"/>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1A9D" w14:textId="77777777" w:rsidR="008A310A" w:rsidRDefault="008A310A" w:rsidP="00005828">
      <w:r>
        <w:separator/>
      </w:r>
    </w:p>
  </w:endnote>
  <w:endnote w:type="continuationSeparator" w:id="0">
    <w:p w14:paraId="21BFAD0D" w14:textId="77777777" w:rsidR="008A310A" w:rsidRDefault="008A310A" w:rsidP="00005828">
      <w:r>
        <w:continuationSeparator/>
      </w:r>
    </w:p>
  </w:endnote>
  <w:endnote w:type="continuationNotice" w:id="1">
    <w:p w14:paraId="313159FA" w14:textId="77777777" w:rsidR="008A310A" w:rsidRDefault="008A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3D08" w14:textId="77777777" w:rsidR="008A310A" w:rsidRDefault="008A310A" w:rsidP="00005828">
      <w:r>
        <w:separator/>
      </w:r>
    </w:p>
  </w:footnote>
  <w:footnote w:type="continuationSeparator" w:id="0">
    <w:p w14:paraId="4DF6C4A0" w14:textId="77777777" w:rsidR="008A310A" w:rsidRDefault="008A310A" w:rsidP="00005828">
      <w:r>
        <w:continuationSeparator/>
      </w:r>
    </w:p>
  </w:footnote>
  <w:footnote w:type="continuationNotice" w:id="1">
    <w:p w14:paraId="104CE0EC" w14:textId="77777777" w:rsidR="008A310A" w:rsidRDefault="008A3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24A11EE8" w:rsidR="009434DF" w:rsidRPr="004D5EE7" w:rsidRDefault="00D56F9A" w:rsidP="00005828">
                          <w:pPr>
                            <w:rPr>
                              <w:b/>
                              <w:bCs w:val="0"/>
                              <w:sz w:val="36"/>
                              <w:szCs w:val="36"/>
                            </w:rPr>
                          </w:pPr>
                          <w:r w:rsidRPr="004D5EE7">
                            <w:rPr>
                              <w:b/>
                              <w:bCs w:val="0"/>
                              <w:sz w:val="36"/>
                              <w:szCs w:val="36"/>
                            </w:rPr>
                            <w:t>Guidance Notes</w:t>
                          </w:r>
                          <w:r w:rsidR="00F87938">
                            <w:rPr>
                              <w:b/>
                              <w:bCs w:val="0"/>
                              <w:sz w:val="36"/>
                              <w:szCs w:val="36"/>
                            </w:rPr>
                            <w:t xml:space="preserve"> – Mid Suffolk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24A11EE8" w:rsidR="009434DF" w:rsidRPr="004D5EE7" w:rsidRDefault="00D56F9A" w:rsidP="00005828">
                    <w:pPr>
                      <w:rPr>
                        <w:b/>
                        <w:bCs w:val="0"/>
                        <w:sz w:val="36"/>
                        <w:szCs w:val="36"/>
                      </w:rPr>
                    </w:pPr>
                    <w:r w:rsidRPr="004D5EE7">
                      <w:rPr>
                        <w:b/>
                        <w:bCs w:val="0"/>
                        <w:sz w:val="36"/>
                        <w:szCs w:val="36"/>
                      </w:rPr>
                      <w:t>Guidance Notes</w:t>
                    </w:r>
                    <w:r w:rsidR="00F87938">
                      <w:rPr>
                        <w:b/>
                        <w:bCs w:val="0"/>
                        <w:sz w:val="36"/>
                        <w:szCs w:val="36"/>
                      </w:rPr>
                      <w:t xml:space="preserve"> – Mid Suffolk</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7"/>
  </w:num>
  <w:num w:numId="2" w16cid:durableId="746541479">
    <w:abstractNumId w:val="12"/>
  </w:num>
  <w:num w:numId="3" w16cid:durableId="1204170460">
    <w:abstractNumId w:val="25"/>
  </w:num>
  <w:num w:numId="4" w16cid:durableId="251623310">
    <w:abstractNumId w:val="16"/>
  </w:num>
  <w:num w:numId="5" w16cid:durableId="311564283">
    <w:abstractNumId w:val="8"/>
  </w:num>
  <w:num w:numId="6" w16cid:durableId="667758239">
    <w:abstractNumId w:val="18"/>
  </w:num>
  <w:num w:numId="7" w16cid:durableId="1912690195">
    <w:abstractNumId w:val="21"/>
  </w:num>
  <w:num w:numId="8" w16cid:durableId="1829323374">
    <w:abstractNumId w:val="5"/>
  </w:num>
  <w:num w:numId="9" w16cid:durableId="1654529375">
    <w:abstractNumId w:val="0"/>
  </w:num>
  <w:num w:numId="10" w16cid:durableId="1651052250">
    <w:abstractNumId w:val="26"/>
  </w:num>
  <w:num w:numId="11" w16cid:durableId="1769427982">
    <w:abstractNumId w:val="10"/>
  </w:num>
  <w:num w:numId="12" w16cid:durableId="758914049">
    <w:abstractNumId w:val="6"/>
  </w:num>
  <w:num w:numId="13" w16cid:durableId="7028336">
    <w:abstractNumId w:val="11"/>
  </w:num>
  <w:num w:numId="14" w16cid:durableId="561330800">
    <w:abstractNumId w:val="19"/>
  </w:num>
  <w:num w:numId="15" w16cid:durableId="243532961">
    <w:abstractNumId w:val="20"/>
  </w:num>
  <w:num w:numId="16" w16cid:durableId="836651603">
    <w:abstractNumId w:val="4"/>
  </w:num>
  <w:num w:numId="17" w16cid:durableId="305664674">
    <w:abstractNumId w:val="23"/>
  </w:num>
  <w:num w:numId="18" w16cid:durableId="364791396">
    <w:abstractNumId w:val="9"/>
  </w:num>
  <w:num w:numId="19" w16cid:durableId="581372684">
    <w:abstractNumId w:val="22"/>
  </w:num>
  <w:num w:numId="20" w16cid:durableId="796685354">
    <w:abstractNumId w:val="15"/>
  </w:num>
  <w:num w:numId="21" w16cid:durableId="968363558">
    <w:abstractNumId w:val="24"/>
  </w:num>
  <w:num w:numId="22" w16cid:durableId="1738818262">
    <w:abstractNumId w:val="13"/>
  </w:num>
  <w:num w:numId="23" w16cid:durableId="1316029521">
    <w:abstractNumId w:val="14"/>
  </w:num>
  <w:num w:numId="24" w16cid:durableId="1301885971">
    <w:abstractNumId w:val="17"/>
  </w:num>
  <w:num w:numId="25" w16cid:durableId="1314331276">
    <w:abstractNumId w:val="1"/>
  </w:num>
  <w:num w:numId="26" w16cid:durableId="1243639005">
    <w:abstractNumId w:val="2"/>
  </w:num>
  <w:num w:numId="27" w16cid:durableId="42245600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1C61"/>
    <w:rsid w:val="000124C4"/>
    <w:rsid w:val="00017EE9"/>
    <w:rsid w:val="00024455"/>
    <w:rsid w:val="00024857"/>
    <w:rsid w:val="000249C2"/>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511"/>
    <w:rsid w:val="00082746"/>
    <w:rsid w:val="00082D07"/>
    <w:rsid w:val="00083692"/>
    <w:rsid w:val="00085B37"/>
    <w:rsid w:val="00093D8D"/>
    <w:rsid w:val="000966D7"/>
    <w:rsid w:val="00097C41"/>
    <w:rsid w:val="000A163B"/>
    <w:rsid w:val="000A686D"/>
    <w:rsid w:val="000A7D79"/>
    <w:rsid w:val="000B32D3"/>
    <w:rsid w:val="000B4CDC"/>
    <w:rsid w:val="000B7B55"/>
    <w:rsid w:val="000C538A"/>
    <w:rsid w:val="000C5C29"/>
    <w:rsid w:val="000C7AFA"/>
    <w:rsid w:val="000D443E"/>
    <w:rsid w:val="000D5F22"/>
    <w:rsid w:val="000F2984"/>
    <w:rsid w:val="000F43F4"/>
    <w:rsid w:val="00107130"/>
    <w:rsid w:val="00107DA9"/>
    <w:rsid w:val="00111837"/>
    <w:rsid w:val="001154E0"/>
    <w:rsid w:val="00116140"/>
    <w:rsid w:val="00120088"/>
    <w:rsid w:val="00127C4F"/>
    <w:rsid w:val="0013020C"/>
    <w:rsid w:val="0013542D"/>
    <w:rsid w:val="001404A7"/>
    <w:rsid w:val="00144015"/>
    <w:rsid w:val="0014560E"/>
    <w:rsid w:val="001569AD"/>
    <w:rsid w:val="0015706F"/>
    <w:rsid w:val="0016091B"/>
    <w:rsid w:val="001614A2"/>
    <w:rsid w:val="0016171B"/>
    <w:rsid w:val="001631A3"/>
    <w:rsid w:val="00166DAA"/>
    <w:rsid w:val="00173EBE"/>
    <w:rsid w:val="0018451A"/>
    <w:rsid w:val="001937DB"/>
    <w:rsid w:val="001A0512"/>
    <w:rsid w:val="001A16F2"/>
    <w:rsid w:val="001A63A9"/>
    <w:rsid w:val="001B002A"/>
    <w:rsid w:val="001D2537"/>
    <w:rsid w:val="001D3812"/>
    <w:rsid w:val="001D48C7"/>
    <w:rsid w:val="001E41E6"/>
    <w:rsid w:val="001E7064"/>
    <w:rsid w:val="001F299F"/>
    <w:rsid w:val="001F29CB"/>
    <w:rsid w:val="0020092B"/>
    <w:rsid w:val="00200E01"/>
    <w:rsid w:val="0020108D"/>
    <w:rsid w:val="00203179"/>
    <w:rsid w:val="002032C2"/>
    <w:rsid w:val="00205DDC"/>
    <w:rsid w:val="00212CBA"/>
    <w:rsid w:val="00213BDF"/>
    <w:rsid w:val="002200B1"/>
    <w:rsid w:val="00220783"/>
    <w:rsid w:val="00221FD3"/>
    <w:rsid w:val="00225306"/>
    <w:rsid w:val="00225BFA"/>
    <w:rsid w:val="0023267A"/>
    <w:rsid w:val="00232B5D"/>
    <w:rsid w:val="00233A81"/>
    <w:rsid w:val="00251F7A"/>
    <w:rsid w:val="00252C64"/>
    <w:rsid w:val="00253183"/>
    <w:rsid w:val="00254D65"/>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A1E01"/>
    <w:rsid w:val="002A2E23"/>
    <w:rsid w:val="002B01A1"/>
    <w:rsid w:val="002B1AF5"/>
    <w:rsid w:val="002C6F82"/>
    <w:rsid w:val="002E425E"/>
    <w:rsid w:val="002F3953"/>
    <w:rsid w:val="002F4C82"/>
    <w:rsid w:val="002F542D"/>
    <w:rsid w:val="003003C1"/>
    <w:rsid w:val="00302157"/>
    <w:rsid w:val="0030610C"/>
    <w:rsid w:val="003179A5"/>
    <w:rsid w:val="00331272"/>
    <w:rsid w:val="003320AB"/>
    <w:rsid w:val="00333A20"/>
    <w:rsid w:val="003343B1"/>
    <w:rsid w:val="0033674B"/>
    <w:rsid w:val="00344A4E"/>
    <w:rsid w:val="00346F66"/>
    <w:rsid w:val="0035133B"/>
    <w:rsid w:val="0035338C"/>
    <w:rsid w:val="00353BCE"/>
    <w:rsid w:val="00355350"/>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406169"/>
    <w:rsid w:val="00412803"/>
    <w:rsid w:val="00420F8A"/>
    <w:rsid w:val="0042298C"/>
    <w:rsid w:val="004234EA"/>
    <w:rsid w:val="004263FE"/>
    <w:rsid w:val="004317BF"/>
    <w:rsid w:val="00434E79"/>
    <w:rsid w:val="0043571A"/>
    <w:rsid w:val="00436961"/>
    <w:rsid w:val="00446F8F"/>
    <w:rsid w:val="00456863"/>
    <w:rsid w:val="00457863"/>
    <w:rsid w:val="00465F00"/>
    <w:rsid w:val="00467AC1"/>
    <w:rsid w:val="00471761"/>
    <w:rsid w:val="00480907"/>
    <w:rsid w:val="00483D62"/>
    <w:rsid w:val="004852A9"/>
    <w:rsid w:val="00485438"/>
    <w:rsid w:val="0049176A"/>
    <w:rsid w:val="00496A96"/>
    <w:rsid w:val="004A0A9F"/>
    <w:rsid w:val="004A1C5D"/>
    <w:rsid w:val="004A3457"/>
    <w:rsid w:val="004A4456"/>
    <w:rsid w:val="004A5B37"/>
    <w:rsid w:val="004A7109"/>
    <w:rsid w:val="004B4C64"/>
    <w:rsid w:val="004C1DB8"/>
    <w:rsid w:val="004C4D8E"/>
    <w:rsid w:val="004C5CC7"/>
    <w:rsid w:val="004D5EE7"/>
    <w:rsid w:val="004D68E6"/>
    <w:rsid w:val="004E1E79"/>
    <w:rsid w:val="004E4679"/>
    <w:rsid w:val="004E6D60"/>
    <w:rsid w:val="004F224B"/>
    <w:rsid w:val="004F2CFF"/>
    <w:rsid w:val="004F59D1"/>
    <w:rsid w:val="00502FB5"/>
    <w:rsid w:val="00510A23"/>
    <w:rsid w:val="00510A56"/>
    <w:rsid w:val="00514DFE"/>
    <w:rsid w:val="00516AD6"/>
    <w:rsid w:val="005224AD"/>
    <w:rsid w:val="00525552"/>
    <w:rsid w:val="00532D6D"/>
    <w:rsid w:val="00533245"/>
    <w:rsid w:val="00534388"/>
    <w:rsid w:val="0054240B"/>
    <w:rsid w:val="00542ED9"/>
    <w:rsid w:val="005440AC"/>
    <w:rsid w:val="00545A09"/>
    <w:rsid w:val="00561D22"/>
    <w:rsid w:val="005632B7"/>
    <w:rsid w:val="00564FDF"/>
    <w:rsid w:val="005705F5"/>
    <w:rsid w:val="00571543"/>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E63"/>
    <w:rsid w:val="005E245E"/>
    <w:rsid w:val="005F5594"/>
    <w:rsid w:val="006028A9"/>
    <w:rsid w:val="00613C38"/>
    <w:rsid w:val="00620992"/>
    <w:rsid w:val="00625C0A"/>
    <w:rsid w:val="00633722"/>
    <w:rsid w:val="006412F1"/>
    <w:rsid w:val="0064158E"/>
    <w:rsid w:val="00643E3F"/>
    <w:rsid w:val="00645199"/>
    <w:rsid w:val="00647A8A"/>
    <w:rsid w:val="00650E3E"/>
    <w:rsid w:val="00650ECA"/>
    <w:rsid w:val="0066261A"/>
    <w:rsid w:val="00662885"/>
    <w:rsid w:val="00670B54"/>
    <w:rsid w:val="006741BD"/>
    <w:rsid w:val="0067608D"/>
    <w:rsid w:val="00680CB2"/>
    <w:rsid w:val="00681BAF"/>
    <w:rsid w:val="0068483C"/>
    <w:rsid w:val="006A1995"/>
    <w:rsid w:val="006A1CED"/>
    <w:rsid w:val="006B2D75"/>
    <w:rsid w:val="006B2DEE"/>
    <w:rsid w:val="006C4556"/>
    <w:rsid w:val="006D3B41"/>
    <w:rsid w:val="006D7CD8"/>
    <w:rsid w:val="006D7EF6"/>
    <w:rsid w:val="006E6D61"/>
    <w:rsid w:val="006F2462"/>
    <w:rsid w:val="006F4246"/>
    <w:rsid w:val="006F6397"/>
    <w:rsid w:val="006F6534"/>
    <w:rsid w:val="00701D68"/>
    <w:rsid w:val="00704628"/>
    <w:rsid w:val="0070600B"/>
    <w:rsid w:val="00707155"/>
    <w:rsid w:val="00712E68"/>
    <w:rsid w:val="00714E33"/>
    <w:rsid w:val="0071697F"/>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87A72"/>
    <w:rsid w:val="00790471"/>
    <w:rsid w:val="00790DD1"/>
    <w:rsid w:val="00795DBB"/>
    <w:rsid w:val="00797896"/>
    <w:rsid w:val="007B2B98"/>
    <w:rsid w:val="007C02BB"/>
    <w:rsid w:val="007C34D3"/>
    <w:rsid w:val="007D5ED6"/>
    <w:rsid w:val="007D6E1D"/>
    <w:rsid w:val="007E5211"/>
    <w:rsid w:val="007E736A"/>
    <w:rsid w:val="007F60B0"/>
    <w:rsid w:val="00812815"/>
    <w:rsid w:val="008218BC"/>
    <w:rsid w:val="00821CB7"/>
    <w:rsid w:val="00824E5C"/>
    <w:rsid w:val="008274DC"/>
    <w:rsid w:val="00832E8A"/>
    <w:rsid w:val="008410D9"/>
    <w:rsid w:val="00843DD1"/>
    <w:rsid w:val="00844DB2"/>
    <w:rsid w:val="00845E5D"/>
    <w:rsid w:val="00846369"/>
    <w:rsid w:val="00850693"/>
    <w:rsid w:val="008515E5"/>
    <w:rsid w:val="00860373"/>
    <w:rsid w:val="00865802"/>
    <w:rsid w:val="008671AA"/>
    <w:rsid w:val="00876226"/>
    <w:rsid w:val="00881CA5"/>
    <w:rsid w:val="00883C61"/>
    <w:rsid w:val="008844AE"/>
    <w:rsid w:val="00885468"/>
    <w:rsid w:val="00885FE7"/>
    <w:rsid w:val="00891332"/>
    <w:rsid w:val="008969FC"/>
    <w:rsid w:val="008A310A"/>
    <w:rsid w:val="008A6044"/>
    <w:rsid w:val="008B04D8"/>
    <w:rsid w:val="008B1345"/>
    <w:rsid w:val="008B3808"/>
    <w:rsid w:val="008B50F1"/>
    <w:rsid w:val="008C0EC3"/>
    <w:rsid w:val="008C1408"/>
    <w:rsid w:val="008C1E28"/>
    <w:rsid w:val="008C22EE"/>
    <w:rsid w:val="008C3590"/>
    <w:rsid w:val="008C4691"/>
    <w:rsid w:val="008D1280"/>
    <w:rsid w:val="008D3BD5"/>
    <w:rsid w:val="008D5C99"/>
    <w:rsid w:val="008D62A0"/>
    <w:rsid w:val="008D7B4C"/>
    <w:rsid w:val="008E198A"/>
    <w:rsid w:val="008E3478"/>
    <w:rsid w:val="008E37C6"/>
    <w:rsid w:val="008E4C5B"/>
    <w:rsid w:val="008E5FB1"/>
    <w:rsid w:val="008E6452"/>
    <w:rsid w:val="008F00D7"/>
    <w:rsid w:val="008F153F"/>
    <w:rsid w:val="008F1CEC"/>
    <w:rsid w:val="008F60AB"/>
    <w:rsid w:val="008F7BB6"/>
    <w:rsid w:val="00905C64"/>
    <w:rsid w:val="00905EA0"/>
    <w:rsid w:val="009116DA"/>
    <w:rsid w:val="0091307B"/>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91FA3"/>
    <w:rsid w:val="00993E87"/>
    <w:rsid w:val="009950C6"/>
    <w:rsid w:val="009B52D6"/>
    <w:rsid w:val="009B6BF0"/>
    <w:rsid w:val="009C149F"/>
    <w:rsid w:val="009C2112"/>
    <w:rsid w:val="009C3728"/>
    <w:rsid w:val="009C548C"/>
    <w:rsid w:val="009C6C36"/>
    <w:rsid w:val="009D4899"/>
    <w:rsid w:val="009E0272"/>
    <w:rsid w:val="009E622F"/>
    <w:rsid w:val="00A0462F"/>
    <w:rsid w:val="00A16C30"/>
    <w:rsid w:val="00A22975"/>
    <w:rsid w:val="00A23DFB"/>
    <w:rsid w:val="00A246E6"/>
    <w:rsid w:val="00A247EA"/>
    <w:rsid w:val="00A27DF6"/>
    <w:rsid w:val="00A27E25"/>
    <w:rsid w:val="00A31C43"/>
    <w:rsid w:val="00A34475"/>
    <w:rsid w:val="00A36C2B"/>
    <w:rsid w:val="00A40912"/>
    <w:rsid w:val="00A41D82"/>
    <w:rsid w:val="00A4477A"/>
    <w:rsid w:val="00A51E48"/>
    <w:rsid w:val="00A52812"/>
    <w:rsid w:val="00A56E92"/>
    <w:rsid w:val="00A57609"/>
    <w:rsid w:val="00A6072B"/>
    <w:rsid w:val="00A60D66"/>
    <w:rsid w:val="00A64D29"/>
    <w:rsid w:val="00A74EE8"/>
    <w:rsid w:val="00A8085F"/>
    <w:rsid w:val="00A81BA1"/>
    <w:rsid w:val="00A85EE5"/>
    <w:rsid w:val="00A94808"/>
    <w:rsid w:val="00A9571E"/>
    <w:rsid w:val="00A97B14"/>
    <w:rsid w:val="00AA0DB3"/>
    <w:rsid w:val="00AA1F78"/>
    <w:rsid w:val="00AA2038"/>
    <w:rsid w:val="00AB1CD7"/>
    <w:rsid w:val="00AB261E"/>
    <w:rsid w:val="00AC405C"/>
    <w:rsid w:val="00AC407A"/>
    <w:rsid w:val="00AC5444"/>
    <w:rsid w:val="00AC775C"/>
    <w:rsid w:val="00AD295C"/>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6C82"/>
    <w:rsid w:val="00BA7236"/>
    <w:rsid w:val="00BB1AD4"/>
    <w:rsid w:val="00BB34BB"/>
    <w:rsid w:val="00BB3609"/>
    <w:rsid w:val="00BB5DF4"/>
    <w:rsid w:val="00BC3325"/>
    <w:rsid w:val="00BC3BDE"/>
    <w:rsid w:val="00BC7163"/>
    <w:rsid w:val="00BC75D1"/>
    <w:rsid w:val="00BD10A6"/>
    <w:rsid w:val="00BE0541"/>
    <w:rsid w:val="00BE1D21"/>
    <w:rsid w:val="00BE2A2F"/>
    <w:rsid w:val="00BE2E39"/>
    <w:rsid w:val="00BE5BD6"/>
    <w:rsid w:val="00BF7D5C"/>
    <w:rsid w:val="00C00909"/>
    <w:rsid w:val="00C05212"/>
    <w:rsid w:val="00C06689"/>
    <w:rsid w:val="00C133B1"/>
    <w:rsid w:val="00C15DC3"/>
    <w:rsid w:val="00C1636D"/>
    <w:rsid w:val="00C16CAE"/>
    <w:rsid w:val="00C1738E"/>
    <w:rsid w:val="00C17434"/>
    <w:rsid w:val="00C22154"/>
    <w:rsid w:val="00C2613D"/>
    <w:rsid w:val="00C263BE"/>
    <w:rsid w:val="00C31113"/>
    <w:rsid w:val="00C36CE7"/>
    <w:rsid w:val="00C37497"/>
    <w:rsid w:val="00C41834"/>
    <w:rsid w:val="00C50EE2"/>
    <w:rsid w:val="00C56283"/>
    <w:rsid w:val="00C619ED"/>
    <w:rsid w:val="00C621CD"/>
    <w:rsid w:val="00C62A5C"/>
    <w:rsid w:val="00C63F56"/>
    <w:rsid w:val="00C67AFA"/>
    <w:rsid w:val="00C848A0"/>
    <w:rsid w:val="00C91964"/>
    <w:rsid w:val="00CA1B35"/>
    <w:rsid w:val="00CA5048"/>
    <w:rsid w:val="00CB1E63"/>
    <w:rsid w:val="00CB3A35"/>
    <w:rsid w:val="00CB69EF"/>
    <w:rsid w:val="00CB7D38"/>
    <w:rsid w:val="00CC307C"/>
    <w:rsid w:val="00CD0046"/>
    <w:rsid w:val="00CE0255"/>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9DD"/>
    <w:rsid w:val="00D8490E"/>
    <w:rsid w:val="00D85A30"/>
    <w:rsid w:val="00D87A76"/>
    <w:rsid w:val="00D9546D"/>
    <w:rsid w:val="00D96286"/>
    <w:rsid w:val="00D96931"/>
    <w:rsid w:val="00DA2512"/>
    <w:rsid w:val="00DA2813"/>
    <w:rsid w:val="00DA4026"/>
    <w:rsid w:val="00DB2B62"/>
    <w:rsid w:val="00DB6222"/>
    <w:rsid w:val="00DB736A"/>
    <w:rsid w:val="00DB7A2E"/>
    <w:rsid w:val="00DC25F9"/>
    <w:rsid w:val="00DC2D7E"/>
    <w:rsid w:val="00DC3DEF"/>
    <w:rsid w:val="00DC43E7"/>
    <w:rsid w:val="00DC62F2"/>
    <w:rsid w:val="00DC6DEA"/>
    <w:rsid w:val="00DC6ED0"/>
    <w:rsid w:val="00DD3A4B"/>
    <w:rsid w:val="00DE14DE"/>
    <w:rsid w:val="00DE17B2"/>
    <w:rsid w:val="00DE444F"/>
    <w:rsid w:val="00DE5DE0"/>
    <w:rsid w:val="00DF4A27"/>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368F"/>
    <w:rsid w:val="00E82DB6"/>
    <w:rsid w:val="00E842A5"/>
    <w:rsid w:val="00E853EC"/>
    <w:rsid w:val="00E934B4"/>
    <w:rsid w:val="00E93CD6"/>
    <w:rsid w:val="00E96893"/>
    <w:rsid w:val="00EA3BBF"/>
    <w:rsid w:val="00EA78A8"/>
    <w:rsid w:val="00EA7F06"/>
    <w:rsid w:val="00EC0282"/>
    <w:rsid w:val="00EC1ADE"/>
    <w:rsid w:val="00EC701B"/>
    <w:rsid w:val="00ED3A32"/>
    <w:rsid w:val="00ED4EF6"/>
    <w:rsid w:val="00ED5ED1"/>
    <w:rsid w:val="00EE0D52"/>
    <w:rsid w:val="00EE16EA"/>
    <w:rsid w:val="00EE225F"/>
    <w:rsid w:val="00EE2A87"/>
    <w:rsid w:val="00EE557E"/>
    <w:rsid w:val="00EF419E"/>
    <w:rsid w:val="00EF6380"/>
    <w:rsid w:val="00F00E25"/>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87938"/>
    <w:rsid w:val="00F9254B"/>
    <w:rsid w:val="00F932EE"/>
    <w:rsid w:val="00F94506"/>
    <w:rsid w:val="00F94BE9"/>
    <w:rsid w:val="00FA1DAA"/>
    <w:rsid w:val="00FA3903"/>
    <w:rsid w:val="00FA4595"/>
    <w:rsid w:val="00FA7477"/>
    <w:rsid w:val="00FA7504"/>
    <w:rsid w:val="00FA779B"/>
    <w:rsid w:val="00FB138F"/>
    <w:rsid w:val="00FB7A50"/>
    <w:rsid w:val="00FC1801"/>
    <w:rsid w:val="00FC30A3"/>
    <w:rsid w:val="00FC74AF"/>
    <w:rsid w:val="00FD345D"/>
    <w:rsid w:val="00FD7823"/>
    <w:rsid w:val="00FF4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D26C3969-99FD-4459-870C-90902F70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yperlink" Target="mailto:BMSDCGrants@baberghmid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midsuffolk.gov.uk/web/mid-suffolk/w/locality-awards" TargetMode="External"/><Relationship Id="rId2" Type="http://schemas.openxmlformats.org/officeDocument/2006/relationships/customXml" Target="../customXml/item2.xml"/><Relationship Id="rId16" Type="http://schemas.openxmlformats.org/officeDocument/2006/relationships/hyperlink" Target="https://www.babergh.gov.uk/w/locality-awards?p_l_back_url=%2Fsearch%3Fq%3Dlocality%2Baw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our-communities-tea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16</cp:revision>
  <cp:lastPrinted>2023-05-05T05:53:00Z</cp:lastPrinted>
  <dcterms:created xsi:type="dcterms:W3CDTF">2024-04-22T11:28:00Z</dcterms:created>
  <dcterms:modified xsi:type="dcterms:W3CDTF">2024-04-26T15:25:00Z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