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8B5D" w14:textId="77777777" w:rsidR="004F7A73" w:rsidRPr="002C3CED" w:rsidRDefault="004F7A73" w:rsidP="00401B84">
      <w:pPr>
        <w:pStyle w:val="NoSpacing"/>
        <w:jc w:val="center"/>
        <w:rPr>
          <w:b/>
          <w:sz w:val="96"/>
          <w:szCs w:val="96"/>
        </w:rPr>
      </w:pPr>
      <w:r w:rsidRPr="002C3CED">
        <w:rPr>
          <w:b/>
          <w:sz w:val="96"/>
          <w:szCs w:val="96"/>
        </w:rPr>
        <w:t>CLAYDON</w:t>
      </w:r>
    </w:p>
    <w:p w14:paraId="37944C4C" w14:textId="77777777" w:rsidR="00077E63" w:rsidRPr="002C3CED" w:rsidRDefault="00077E63" w:rsidP="00A16777">
      <w:pPr>
        <w:pStyle w:val="NoSpacing"/>
        <w:jc w:val="center"/>
        <w:rPr>
          <w:b/>
          <w:sz w:val="28"/>
          <w:szCs w:val="28"/>
        </w:rPr>
      </w:pPr>
    </w:p>
    <w:p w14:paraId="4F3FCD76" w14:textId="77777777" w:rsidR="00592FF6" w:rsidRPr="002C3CED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2C3CED">
        <w:rPr>
          <w:b/>
          <w:sz w:val="48"/>
          <w:szCs w:val="48"/>
        </w:rPr>
        <w:t>HOUSING &amp; POPULATION DATA PROFILE</w:t>
      </w:r>
    </w:p>
    <w:p w14:paraId="5DB9F724" w14:textId="77777777" w:rsidR="00247F05" w:rsidRPr="002C3CED" w:rsidRDefault="002C3CED" w:rsidP="002C3CED">
      <w:pPr>
        <w:pStyle w:val="NoSpacing"/>
        <w:ind w:left="-283"/>
        <w:jc w:val="right"/>
      </w:pPr>
      <w:r w:rsidRPr="002C3CE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1E5555" wp14:editId="49BCA4E6">
            <wp:simplePos x="0" y="0"/>
            <wp:positionH relativeFrom="margin">
              <wp:posOffset>145415</wp:posOffset>
            </wp:positionH>
            <wp:positionV relativeFrom="margin">
              <wp:posOffset>2216150</wp:posOffset>
            </wp:positionV>
            <wp:extent cx="5753100" cy="5440680"/>
            <wp:effectExtent l="171450" t="171450" r="361950" b="3505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440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7151C" w:rsidRPr="002C3CED">
        <w:t>`</w:t>
      </w:r>
    </w:p>
    <w:p w14:paraId="424B00A9" w14:textId="77777777" w:rsidR="002C3CED" w:rsidRPr="002C3CED" w:rsidRDefault="002C3CED" w:rsidP="002C3CED">
      <w:pPr>
        <w:pStyle w:val="NoSpacing"/>
        <w:jc w:val="center"/>
        <w:rPr>
          <w:b/>
          <w:sz w:val="48"/>
          <w:szCs w:val="48"/>
        </w:rPr>
      </w:pPr>
      <w:r w:rsidRPr="002C3CED">
        <w:rPr>
          <w:b/>
          <w:sz w:val="48"/>
          <w:szCs w:val="48"/>
        </w:rPr>
        <w:t>[Parish level]</w:t>
      </w:r>
    </w:p>
    <w:p w14:paraId="52653267" w14:textId="77777777" w:rsidR="00005ADC" w:rsidRPr="002C3CED" w:rsidRDefault="00005ADC" w:rsidP="00A16777">
      <w:pPr>
        <w:pStyle w:val="NoSpacing"/>
        <w:jc w:val="center"/>
        <w:rPr>
          <w:b/>
          <w:sz w:val="28"/>
          <w:szCs w:val="28"/>
        </w:rPr>
      </w:pPr>
    </w:p>
    <w:p w14:paraId="0F4B7F8C" w14:textId="3BE336E5" w:rsidR="00297842" w:rsidRPr="002C3CED" w:rsidRDefault="007C263A" w:rsidP="00A16777">
      <w:pPr>
        <w:pStyle w:val="NoSpacing"/>
        <w:jc w:val="center"/>
        <w:rPr>
          <w:b/>
          <w:sz w:val="48"/>
          <w:szCs w:val="48"/>
        </w:rPr>
      </w:pPr>
      <w:r w:rsidRPr="002C3CED">
        <w:rPr>
          <w:b/>
          <w:sz w:val="52"/>
          <w:szCs w:val="52"/>
        </w:rPr>
        <w:t>(</w:t>
      </w:r>
      <w:r w:rsidR="00207652" w:rsidRPr="002C3CED">
        <w:rPr>
          <w:b/>
          <w:sz w:val="52"/>
          <w:szCs w:val="52"/>
        </w:rPr>
        <w:t xml:space="preserve">Last </w:t>
      </w:r>
      <w:bookmarkStart w:id="0" w:name="_GoBack"/>
      <w:bookmarkEnd w:id="0"/>
      <w:r w:rsidR="00207652" w:rsidRPr="002C3CED">
        <w:rPr>
          <w:b/>
          <w:sz w:val="52"/>
          <w:szCs w:val="52"/>
        </w:rPr>
        <w:t xml:space="preserve">Updated: </w:t>
      </w:r>
      <w:r w:rsidR="00BA5B08">
        <w:rPr>
          <w:b/>
          <w:sz w:val="52"/>
          <w:szCs w:val="52"/>
        </w:rPr>
        <w:t xml:space="preserve">October </w:t>
      </w:r>
      <w:r w:rsidR="008D631E">
        <w:rPr>
          <w:b/>
          <w:sz w:val="52"/>
          <w:szCs w:val="52"/>
        </w:rPr>
        <w:t>2019</w:t>
      </w:r>
      <w:r w:rsidRPr="002C3CED">
        <w:rPr>
          <w:b/>
          <w:sz w:val="52"/>
          <w:szCs w:val="52"/>
        </w:rPr>
        <w:t>)</w:t>
      </w:r>
    </w:p>
    <w:p w14:paraId="5E68E770" w14:textId="77777777" w:rsidR="00297842" w:rsidRPr="00401B84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401B8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C3CED" w:rsidRPr="002C3CED" w14:paraId="4A6C032C" w14:textId="77777777" w:rsidTr="00F450B5">
        <w:tc>
          <w:tcPr>
            <w:tcW w:w="9854" w:type="dxa"/>
          </w:tcPr>
          <w:p w14:paraId="79839BC2" w14:textId="77777777" w:rsidR="00F450B5" w:rsidRPr="002C3CE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8FB6D25" w14:textId="77777777" w:rsidR="00461BCD" w:rsidRPr="002C3CED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C3CED">
              <w:rPr>
                <w:b/>
                <w:sz w:val="24"/>
                <w:szCs w:val="24"/>
              </w:rPr>
              <w:t>Th</w:t>
            </w:r>
            <w:r w:rsidR="001569F9" w:rsidRPr="002C3CED">
              <w:rPr>
                <w:b/>
                <w:sz w:val="24"/>
                <w:szCs w:val="24"/>
              </w:rPr>
              <w:t xml:space="preserve">is </w:t>
            </w:r>
            <w:r w:rsidRPr="002C3CED">
              <w:rPr>
                <w:b/>
                <w:sz w:val="24"/>
                <w:szCs w:val="24"/>
              </w:rPr>
              <w:t xml:space="preserve">Parish Profile </w:t>
            </w:r>
            <w:r w:rsidR="00461BCD" w:rsidRPr="002C3CED">
              <w:rPr>
                <w:b/>
                <w:sz w:val="24"/>
                <w:szCs w:val="24"/>
              </w:rPr>
              <w:t xml:space="preserve">has been produced </w:t>
            </w:r>
            <w:r w:rsidR="001A0DC4" w:rsidRPr="002C3CED">
              <w:rPr>
                <w:b/>
                <w:sz w:val="24"/>
                <w:szCs w:val="24"/>
              </w:rPr>
              <w:t xml:space="preserve">primarily </w:t>
            </w:r>
            <w:r w:rsidR="00461BCD" w:rsidRPr="002C3CED">
              <w:rPr>
                <w:b/>
                <w:sz w:val="24"/>
                <w:szCs w:val="24"/>
              </w:rPr>
              <w:t xml:space="preserve">to help inform </w:t>
            </w:r>
            <w:r w:rsidR="001A0DC4" w:rsidRPr="002C3CED">
              <w:rPr>
                <w:b/>
                <w:sz w:val="24"/>
                <w:szCs w:val="24"/>
              </w:rPr>
              <w:t xml:space="preserve">local </w:t>
            </w:r>
            <w:r w:rsidR="00461BCD" w:rsidRPr="002C3CED">
              <w:rPr>
                <w:b/>
                <w:sz w:val="24"/>
                <w:szCs w:val="24"/>
              </w:rPr>
              <w:t xml:space="preserve">discussion on housing need. </w:t>
            </w:r>
          </w:p>
          <w:p w14:paraId="7096EE18" w14:textId="77777777" w:rsidR="00F450B5" w:rsidRPr="002C3CED" w:rsidRDefault="00461BCD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C3CED">
              <w:rPr>
                <w:b/>
                <w:sz w:val="24"/>
                <w:szCs w:val="24"/>
              </w:rPr>
              <w:t>Most of the data comes from the 2011 Census (accessible via the ONS website)</w:t>
            </w:r>
            <w:r w:rsidR="001A0DC4" w:rsidRPr="002C3CED">
              <w:rPr>
                <w:b/>
                <w:sz w:val="24"/>
                <w:szCs w:val="24"/>
              </w:rPr>
              <w:t>. Other data sources have also been used as appropriate, and will be updated periodically.</w:t>
            </w:r>
            <w:r w:rsidRPr="002C3CED">
              <w:rPr>
                <w:b/>
                <w:sz w:val="24"/>
                <w:szCs w:val="24"/>
              </w:rPr>
              <w:t xml:space="preserve"> </w:t>
            </w:r>
          </w:p>
          <w:p w14:paraId="6938FDC3" w14:textId="77777777" w:rsidR="00F450B5" w:rsidRPr="002C3CED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CC286F4" w14:textId="77777777" w:rsidR="00F450B5" w:rsidRPr="002740DB" w:rsidRDefault="00F450B5" w:rsidP="00371667">
      <w:pPr>
        <w:pStyle w:val="NoSpacing"/>
        <w:jc w:val="center"/>
      </w:pPr>
    </w:p>
    <w:p w14:paraId="3DBFFB8F" w14:textId="77777777" w:rsidR="001A389A" w:rsidRPr="002740DB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40DB" w:rsidRPr="002740DB" w14:paraId="7F58181C" w14:textId="77777777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226A47" w14:textId="77777777" w:rsidR="001569F9" w:rsidRPr="002740DB" w:rsidRDefault="001569F9" w:rsidP="00B310B5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0853EAA8" w14:textId="77777777" w:rsidR="001569F9" w:rsidRPr="002740DB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How many people live locally?</w:t>
            </w:r>
          </w:p>
          <w:p w14:paraId="165DDFBD" w14:textId="77777777" w:rsidR="001569F9" w:rsidRPr="002740DB" w:rsidRDefault="001569F9" w:rsidP="00B310B5">
            <w:pPr>
              <w:pStyle w:val="NoSpacing"/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5D0BAF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Children Under</w:t>
            </w:r>
          </w:p>
          <w:p w14:paraId="4E9610FD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16A0A2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Working</w:t>
            </w:r>
          </w:p>
          <w:p w14:paraId="751D682D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Age Adults</w:t>
            </w:r>
          </w:p>
          <w:p w14:paraId="043273F9" w14:textId="77777777" w:rsidR="001569F9" w:rsidRPr="002740DB" w:rsidRDefault="001569F9" w:rsidP="00B310B5">
            <w:pPr>
              <w:pStyle w:val="NoSpacing"/>
              <w:jc w:val="center"/>
              <w:rPr>
                <w:sz w:val="24"/>
                <w:szCs w:val="24"/>
              </w:rPr>
            </w:pPr>
            <w:r w:rsidRPr="002740DB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7C10B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People</w:t>
            </w:r>
          </w:p>
          <w:p w14:paraId="3ED59591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Aged</w:t>
            </w:r>
          </w:p>
          <w:p w14:paraId="22D7BBF6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528F81" w14:textId="77777777" w:rsidR="001569F9" w:rsidRPr="002740DB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Dependency Ratio</w:t>
            </w:r>
          </w:p>
        </w:tc>
      </w:tr>
      <w:tr w:rsidR="002C3CED" w:rsidRPr="002C3CED" w14:paraId="7498B3B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A1D89D" w14:textId="77777777" w:rsidR="004F7A73" w:rsidRPr="002C3CED" w:rsidRDefault="004F7A73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8FFF558" w14:textId="77777777" w:rsidR="004F7A73" w:rsidRPr="002C3CED" w:rsidRDefault="004F7A73" w:rsidP="002D371B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2C3CED">
              <w:rPr>
                <w:b/>
                <w:sz w:val="26"/>
                <w:szCs w:val="26"/>
              </w:rPr>
              <w:t>2,197</w:t>
            </w:r>
          </w:p>
          <w:p w14:paraId="3E7429FA" w14:textId="77777777" w:rsidR="004F7A73" w:rsidRPr="002C3CED" w:rsidRDefault="004F7A73" w:rsidP="002D371B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7B4313" w14:textId="77777777" w:rsidR="004F7A73" w:rsidRPr="002C3CED" w:rsidRDefault="004F7A73" w:rsidP="00401B8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C3CED">
              <w:rPr>
                <w:b/>
                <w:sz w:val="26"/>
                <w:szCs w:val="26"/>
              </w:rPr>
              <w:t xml:space="preserve">425 </w:t>
            </w:r>
            <w:r w:rsidRPr="002C3CED">
              <w:rPr>
                <w:sz w:val="26"/>
                <w:szCs w:val="26"/>
              </w:rPr>
              <w:t>(19.3%)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C8EEEA" w14:textId="77777777" w:rsidR="004F7A73" w:rsidRPr="002C3CED" w:rsidRDefault="004F7A73" w:rsidP="00401B84">
            <w:pPr>
              <w:pStyle w:val="NoSpacing"/>
              <w:jc w:val="center"/>
              <w:rPr>
                <w:sz w:val="28"/>
                <w:szCs w:val="28"/>
              </w:rPr>
            </w:pPr>
            <w:r w:rsidRPr="002C3CED">
              <w:rPr>
                <w:b/>
                <w:sz w:val="26"/>
                <w:szCs w:val="26"/>
              </w:rPr>
              <w:t xml:space="preserve">1,325 </w:t>
            </w:r>
            <w:r w:rsidRPr="002C3CED">
              <w:rPr>
                <w:sz w:val="26"/>
                <w:szCs w:val="26"/>
              </w:rPr>
              <w:t>(60.3%)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827DFF" w14:textId="77777777" w:rsidR="004F7A73" w:rsidRPr="002C3CED" w:rsidRDefault="004F7A73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2C3CED">
              <w:rPr>
                <w:b/>
                <w:sz w:val="26"/>
                <w:szCs w:val="26"/>
              </w:rPr>
              <w:t xml:space="preserve">447 </w:t>
            </w:r>
            <w:r w:rsidRPr="002C3CED">
              <w:rPr>
                <w:sz w:val="26"/>
                <w:szCs w:val="26"/>
              </w:rPr>
              <w:t>(20.3%)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286432" w14:textId="77777777" w:rsidR="004F7A73" w:rsidRPr="002C3CED" w:rsidRDefault="004F7A73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2C3CED">
              <w:rPr>
                <w:b/>
                <w:sz w:val="26"/>
                <w:szCs w:val="26"/>
              </w:rPr>
              <w:t>0.66</w:t>
            </w:r>
          </w:p>
        </w:tc>
      </w:tr>
      <w:tr w:rsidR="002C3CED" w:rsidRPr="002C3CED" w14:paraId="51E9E0F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3386B7" w14:textId="77777777" w:rsidR="001569F9" w:rsidRPr="002C3CED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0C3F179" w14:textId="77777777" w:rsidR="004F7A73" w:rsidRPr="002C3CED" w:rsidRDefault="004F7A73" w:rsidP="004F7A73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 xml:space="preserve">Males: </w:t>
            </w:r>
            <w:r w:rsidR="00D24BFF">
              <w:rPr>
                <w:sz w:val="18"/>
                <w:szCs w:val="18"/>
              </w:rPr>
              <w:t>50.5</w:t>
            </w:r>
            <w:r w:rsidRPr="002C3CED">
              <w:rPr>
                <w:sz w:val="18"/>
                <w:szCs w:val="18"/>
              </w:rPr>
              <w:t>%</w:t>
            </w:r>
          </w:p>
          <w:p w14:paraId="08138461" w14:textId="77777777" w:rsidR="004F7A73" w:rsidRPr="002C3CED" w:rsidRDefault="004F7A73" w:rsidP="004F7A73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 xml:space="preserve">Females: </w:t>
            </w:r>
            <w:r w:rsidR="00D24BFF">
              <w:rPr>
                <w:sz w:val="18"/>
                <w:szCs w:val="18"/>
              </w:rPr>
              <w:t>49.5</w:t>
            </w:r>
            <w:r w:rsidRPr="002C3CED">
              <w:rPr>
                <w:sz w:val="18"/>
                <w:szCs w:val="18"/>
              </w:rPr>
              <w:t>%</w:t>
            </w:r>
          </w:p>
          <w:p w14:paraId="6FCA3369" w14:textId="77777777" w:rsidR="001569F9" w:rsidRPr="002C3CED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23297F" w14:textId="77777777" w:rsidR="001569F9" w:rsidRPr="002C3CED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>Mid Sflk Avg = 18.4%</w:t>
            </w:r>
          </w:p>
          <w:p w14:paraId="4EFBCBC5" w14:textId="77777777" w:rsidR="001569F9" w:rsidRPr="002C3CED" w:rsidRDefault="001569F9" w:rsidP="009A35A4">
            <w:pPr>
              <w:pStyle w:val="NoSpacing"/>
              <w:jc w:val="center"/>
            </w:pPr>
            <w:r w:rsidRPr="002C3CED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C52E37" w14:textId="77777777" w:rsidR="001569F9" w:rsidRPr="002C3CED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>Mid Sflk Avg = 61.5%</w:t>
            </w:r>
          </w:p>
          <w:p w14:paraId="238AD22B" w14:textId="77777777" w:rsidR="001569F9" w:rsidRPr="002C3CED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2C3CED">
              <w:rPr>
                <w:sz w:val="18"/>
                <w:szCs w:val="18"/>
              </w:rPr>
              <w:t>England Avg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AD7B76" w14:textId="77777777" w:rsidR="001569F9" w:rsidRPr="002C3CED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>Mid Sflk Avg = 20.1%</w:t>
            </w:r>
          </w:p>
          <w:p w14:paraId="5D662E6A" w14:textId="77777777" w:rsidR="001569F9" w:rsidRPr="002C3CED" w:rsidRDefault="001569F9" w:rsidP="009A35A4">
            <w:pPr>
              <w:pStyle w:val="NoSpacing"/>
              <w:jc w:val="center"/>
            </w:pPr>
            <w:r w:rsidRPr="002C3CED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0F7C77" w14:textId="77777777" w:rsidR="001569F9" w:rsidRPr="002C3CED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C3CED">
              <w:rPr>
                <w:sz w:val="18"/>
                <w:szCs w:val="18"/>
              </w:rPr>
              <w:t>Mid Sflk Avg = 0.63</w:t>
            </w:r>
          </w:p>
          <w:p w14:paraId="5126A08B" w14:textId="77777777" w:rsidR="001569F9" w:rsidRPr="002C3CED" w:rsidRDefault="001569F9" w:rsidP="009A35A4">
            <w:pPr>
              <w:pStyle w:val="NoSpacing"/>
              <w:jc w:val="center"/>
            </w:pPr>
            <w:r w:rsidRPr="002C3CED">
              <w:rPr>
                <w:sz w:val="18"/>
                <w:szCs w:val="18"/>
              </w:rPr>
              <w:t>England Avg = 0.55</w:t>
            </w:r>
          </w:p>
        </w:tc>
      </w:tr>
    </w:tbl>
    <w:p w14:paraId="14694AB7" w14:textId="77777777" w:rsidR="001569F9" w:rsidRPr="002C3CED" w:rsidRDefault="001569F9" w:rsidP="00371667">
      <w:pPr>
        <w:pStyle w:val="NoSpacing"/>
        <w:jc w:val="center"/>
        <w:rPr>
          <w:sz w:val="8"/>
          <w:szCs w:val="8"/>
        </w:rPr>
      </w:pPr>
    </w:p>
    <w:p w14:paraId="26640B2D" w14:textId="77777777" w:rsidR="001569F9" w:rsidRPr="002C3CED" w:rsidRDefault="001569F9" w:rsidP="001569F9">
      <w:pPr>
        <w:pStyle w:val="NoSpacing"/>
        <w:jc w:val="center"/>
        <w:rPr>
          <w:sz w:val="18"/>
          <w:szCs w:val="18"/>
        </w:rPr>
      </w:pPr>
      <w:r w:rsidRPr="002C3CED">
        <w:rPr>
          <w:sz w:val="18"/>
          <w:szCs w:val="18"/>
        </w:rPr>
        <w:t>[Source: ONS 2011 Census: KS101EW &amp; KS102EW]</w:t>
      </w:r>
      <w:r w:rsidR="001A389A" w:rsidRPr="002C3CED">
        <w:rPr>
          <w:sz w:val="18"/>
          <w:szCs w:val="18"/>
        </w:rPr>
        <w:t xml:space="preserve"> </w:t>
      </w:r>
      <w:r w:rsidRPr="002C3CED">
        <w:rPr>
          <w:sz w:val="18"/>
          <w:szCs w:val="18"/>
        </w:rPr>
        <w:t xml:space="preserve">[Dependency Ratio = </w:t>
      </w:r>
      <w:r w:rsidR="00EB44C0" w:rsidRPr="002C3CED">
        <w:rPr>
          <w:sz w:val="18"/>
          <w:szCs w:val="18"/>
        </w:rPr>
        <w:t>R</w:t>
      </w:r>
      <w:r w:rsidRPr="002C3CED">
        <w:rPr>
          <w:sz w:val="18"/>
          <w:szCs w:val="18"/>
        </w:rPr>
        <w:t xml:space="preserve">atio </w:t>
      </w:r>
      <w:r w:rsidR="00EB44C0" w:rsidRPr="002C3CED">
        <w:rPr>
          <w:sz w:val="18"/>
          <w:szCs w:val="18"/>
        </w:rPr>
        <w:t>of N</w:t>
      </w:r>
      <w:r w:rsidRPr="002C3CED">
        <w:rPr>
          <w:sz w:val="18"/>
          <w:szCs w:val="18"/>
        </w:rPr>
        <w:t xml:space="preserve">on-working </w:t>
      </w:r>
      <w:r w:rsidR="00EB44C0" w:rsidRPr="002C3CED">
        <w:rPr>
          <w:sz w:val="18"/>
          <w:szCs w:val="18"/>
        </w:rPr>
        <w:t>A</w:t>
      </w:r>
      <w:r w:rsidRPr="002C3CED">
        <w:rPr>
          <w:sz w:val="18"/>
          <w:szCs w:val="18"/>
        </w:rPr>
        <w:t xml:space="preserve">ge to </w:t>
      </w:r>
      <w:r w:rsidR="00EB44C0" w:rsidRPr="002C3CED">
        <w:rPr>
          <w:sz w:val="18"/>
          <w:szCs w:val="18"/>
        </w:rPr>
        <w:t>W</w:t>
      </w:r>
      <w:r w:rsidRPr="002C3CED">
        <w:rPr>
          <w:sz w:val="18"/>
          <w:szCs w:val="18"/>
        </w:rPr>
        <w:t xml:space="preserve">orking </w:t>
      </w:r>
      <w:r w:rsidR="00EB44C0" w:rsidRPr="002C3CED">
        <w:rPr>
          <w:sz w:val="18"/>
          <w:szCs w:val="18"/>
        </w:rPr>
        <w:t>A</w:t>
      </w:r>
      <w:r w:rsidRPr="002C3CED">
        <w:rPr>
          <w:sz w:val="18"/>
          <w:szCs w:val="18"/>
        </w:rPr>
        <w:t xml:space="preserve">ge </w:t>
      </w:r>
      <w:r w:rsidR="00EB44C0" w:rsidRPr="002C3CED">
        <w:rPr>
          <w:sz w:val="18"/>
          <w:szCs w:val="18"/>
        </w:rPr>
        <w:t>P</w:t>
      </w:r>
      <w:r w:rsidRPr="002C3CED">
        <w:rPr>
          <w:sz w:val="18"/>
          <w:szCs w:val="18"/>
        </w:rPr>
        <w:t>opulation]</w:t>
      </w:r>
    </w:p>
    <w:p w14:paraId="670D75C4" w14:textId="77777777" w:rsidR="001569F9" w:rsidRPr="00401B84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2740DB" w:rsidRPr="002740DB" w14:paraId="2BA76B16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BD7CB" w14:textId="77777777" w:rsidR="001569F9" w:rsidRPr="002740DB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740DB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23653" w14:textId="77777777" w:rsidR="001569F9" w:rsidRPr="002740DB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152AF51B" w14:textId="77777777" w:rsidR="001569F9" w:rsidRPr="002740DB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Single H/holds</w:t>
            </w:r>
          </w:p>
          <w:p w14:paraId="2C09D651" w14:textId="77777777" w:rsidR="001569F9" w:rsidRPr="002740DB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F9C2C" w14:textId="77777777" w:rsidR="001569F9" w:rsidRPr="002740DB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4C7070C" w14:textId="77777777" w:rsidR="001569F9" w:rsidRPr="002740DB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Lone Parent Families</w:t>
            </w:r>
          </w:p>
          <w:p w14:paraId="026620A5" w14:textId="77777777" w:rsidR="001569F9" w:rsidRPr="002740DB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with Dependent Children</w:t>
            </w:r>
          </w:p>
          <w:p w14:paraId="22FEFFC8" w14:textId="77777777" w:rsidR="001569F9" w:rsidRPr="002740DB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2740DB" w:rsidRPr="002740DB" w14:paraId="3BFD9875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3E3CA" w14:textId="77777777" w:rsidR="00B310B5" w:rsidRPr="002740DB" w:rsidRDefault="00B310B5" w:rsidP="00B310B5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6068A16" w14:textId="77777777" w:rsidR="00B310B5" w:rsidRPr="002740DB" w:rsidRDefault="00B310B5" w:rsidP="00401B84">
            <w:pPr>
              <w:pStyle w:val="NoSpacing"/>
              <w:jc w:val="center"/>
              <w:rPr>
                <w:sz w:val="26"/>
                <w:szCs w:val="26"/>
              </w:rPr>
            </w:pPr>
            <w:r w:rsidRPr="002740DB">
              <w:rPr>
                <w:b/>
                <w:sz w:val="26"/>
                <w:szCs w:val="26"/>
              </w:rPr>
              <w:t>137</w:t>
            </w:r>
          </w:p>
          <w:p w14:paraId="43EC2F54" w14:textId="77777777" w:rsidR="002C3CED" w:rsidRPr="002740DB" w:rsidRDefault="002C3CED" w:rsidP="00401B8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09257" w14:textId="77777777" w:rsidR="00B310B5" w:rsidRPr="002740DB" w:rsidRDefault="00B310B5" w:rsidP="002C3CE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AF1DF" w14:textId="77777777" w:rsidR="00B310B5" w:rsidRPr="002740DB" w:rsidRDefault="00B310B5" w:rsidP="002740DB">
            <w:pPr>
              <w:pStyle w:val="NoSpacing"/>
              <w:jc w:val="center"/>
              <w:rPr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50</w:t>
            </w:r>
          </w:p>
        </w:tc>
      </w:tr>
      <w:tr w:rsidR="002740DB" w:rsidRPr="002740DB" w14:paraId="44615912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E8CF0" w14:textId="77777777" w:rsidR="00401B84" w:rsidRPr="002740DB" w:rsidRDefault="00401B84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101792D" w14:textId="77777777" w:rsidR="002C3CED" w:rsidRPr="002740DB" w:rsidRDefault="002C3CED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14.9% of all Households</w:t>
            </w:r>
          </w:p>
          <w:p w14:paraId="209290B6" w14:textId="77777777" w:rsidR="001569F9" w:rsidRPr="002740DB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Suffolk Avg = 12.9%</w:t>
            </w:r>
          </w:p>
          <w:p w14:paraId="31C65608" w14:textId="77777777" w:rsidR="001569F9" w:rsidRPr="002740DB" w:rsidRDefault="00401B84" w:rsidP="00D47D6E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12.4%</w:t>
            </w:r>
          </w:p>
          <w:p w14:paraId="20DF486D" w14:textId="77777777" w:rsidR="001569F9" w:rsidRPr="002740DB" w:rsidRDefault="001569F9" w:rsidP="00D47D6E">
            <w:pPr>
              <w:pStyle w:val="NoSpacing"/>
              <w:jc w:val="center"/>
              <w:rPr>
                <w:sz w:val="4"/>
                <w:szCs w:val="4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A3712" w14:textId="77777777" w:rsidR="002C3CED" w:rsidRPr="002740DB" w:rsidRDefault="002C3CED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10.6% of all Households</w:t>
            </w:r>
          </w:p>
          <w:p w14:paraId="244F6D3B" w14:textId="77777777" w:rsidR="001569F9" w:rsidRPr="002740DB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Suffolk Avg = 12.4%</w:t>
            </w:r>
          </w:p>
          <w:p w14:paraId="161E330C" w14:textId="77777777" w:rsidR="001569F9" w:rsidRPr="002740DB" w:rsidRDefault="001569F9" w:rsidP="00401B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sz w:val="18"/>
                <w:szCs w:val="18"/>
              </w:rPr>
              <w:t>England Avg = 17.9%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91932" w14:textId="77777777" w:rsidR="002740DB" w:rsidRPr="002740DB" w:rsidRDefault="002740DB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F6851BB" w14:textId="77777777" w:rsidR="002740DB" w:rsidRPr="002740DB" w:rsidRDefault="002740DB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18.8% of all families with dependent children</w:t>
            </w:r>
          </w:p>
          <w:p w14:paraId="7014401B" w14:textId="77777777" w:rsidR="001569F9" w:rsidRPr="002740DB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Suffolk Avg = 17.7%</w:t>
            </w:r>
          </w:p>
          <w:p w14:paraId="53EC4F75" w14:textId="77777777" w:rsidR="001569F9" w:rsidRPr="002740DB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England Avg = 24.5%</w:t>
            </w:r>
          </w:p>
          <w:p w14:paraId="2BB11AE4" w14:textId="77777777" w:rsidR="001569F9" w:rsidRPr="002740DB" w:rsidRDefault="001569F9" w:rsidP="00D47D6E">
            <w:pPr>
              <w:pStyle w:val="NoSpacing"/>
              <w:jc w:val="center"/>
              <w:rPr>
                <w:sz w:val="4"/>
                <w:szCs w:val="4"/>
              </w:rPr>
            </w:pPr>
          </w:p>
        </w:tc>
      </w:tr>
    </w:tbl>
    <w:p w14:paraId="65A2E2E0" w14:textId="77777777" w:rsidR="001569F9" w:rsidRPr="002740DB" w:rsidRDefault="001569F9" w:rsidP="00EB44C0">
      <w:pPr>
        <w:pStyle w:val="NoSpacing"/>
        <w:jc w:val="center"/>
        <w:rPr>
          <w:sz w:val="8"/>
          <w:szCs w:val="8"/>
        </w:rPr>
      </w:pPr>
    </w:p>
    <w:p w14:paraId="34E69553" w14:textId="77777777" w:rsidR="001569F9" w:rsidRPr="002740DB" w:rsidRDefault="001569F9" w:rsidP="001569F9">
      <w:pPr>
        <w:pStyle w:val="NoSpacing"/>
        <w:jc w:val="center"/>
        <w:rPr>
          <w:sz w:val="24"/>
          <w:szCs w:val="24"/>
        </w:rPr>
      </w:pPr>
      <w:r w:rsidRPr="002740DB">
        <w:rPr>
          <w:sz w:val="18"/>
          <w:szCs w:val="18"/>
        </w:rPr>
        <w:t>[Source: ONS 2011 Census: KS105EW]</w:t>
      </w:r>
    </w:p>
    <w:p w14:paraId="0CFB64DA" w14:textId="77777777" w:rsidR="001569F9" w:rsidRPr="002740DB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40DB" w:rsidRPr="002740DB" w14:paraId="70DDDDC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58AE8D" w14:textId="77777777" w:rsidR="001569F9" w:rsidRPr="002740DB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1C2D2946" w14:textId="77777777" w:rsidR="001569F9" w:rsidRPr="002740DB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 xml:space="preserve">General Health </w:t>
            </w:r>
            <w:r w:rsidRPr="002740DB">
              <w:rPr>
                <w:sz w:val="32"/>
                <w:szCs w:val="32"/>
              </w:rPr>
              <w:t xml:space="preserve">(All Usual Residents) </w:t>
            </w:r>
          </w:p>
          <w:p w14:paraId="0B9511F0" w14:textId="77777777" w:rsidR="001569F9" w:rsidRPr="002740DB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2740DB" w:rsidRPr="002740DB" w14:paraId="2592DBC1" w14:textId="77777777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31BD4" w14:textId="77777777" w:rsidR="005F6DBB" w:rsidRPr="002740DB" w:rsidRDefault="005F6DBB" w:rsidP="005F6DBB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489F4E62" w14:textId="77777777" w:rsidR="005F6DBB" w:rsidRPr="002740DB" w:rsidRDefault="005F6DBB" w:rsidP="005F6DBB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>Very Good</w:t>
            </w:r>
          </w:p>
          <w:p w14:paraId="228EF28D" w14:textId="77777777" w:rsidR="005F6DBB" w:rsidRPr="002740DB" w:rsidRDefault="005F6DBB" w:rsidP="00401B84">
            <w:pPr>
              <w:jc w:val="center"/>
              <w:rPr>
                <w:b/>
                <w:sz w:val="26"/>
                <w:szCs w:val="26"/>
              </w:rPr>
            </w:pPr>
            <w:r w:rsidRPr="002740DB">
              <w:rPr>
                <w:b/>
                <w:sz w:val="26"/>
                <w:szCs w:val="26"/>
              </w:rPr>
              <w:t>47.9%</w:t>
            </w:r>
          </w:p>
          <w:p w14:paraId="60FBC2BE" w14:textId="77777777" w:rsidR="00401B84" w:rsidRPr="002740DB" w:rsidRDefault="00401B84" w:rsidP="00401B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AE3B7" w14:textId="77777777" w:rsidR="005F6DBB" w:rsidRPr="002740DB" w:rsidRDefault="005F6DBB" w:rsidP="005F6DBB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>Good</w:t>
            </w:r>
          </w:p>
          <w:p w14:paraId="60AEC483" w14:textId="77777777" w:rsidR="005F6DBB" w:rsidRPr="002740DB" w:rsidRDefault="005F6DBB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34.1%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5B80C" w14:textId="77777777" w:rsidR="005F6DBB" w:rsidRPr="002740DB" w:rsidRDefault="005F6DBB" w:rsidP="005F6DBB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>Fair</w:t>
            </w:r>
          </w:p>
          <w:p w14:paraId="756271C2" w14:textId="77777777" w:rsidR="005F6DBB" w:rsidRPr="002740DB" w:rsidRDefault="005F6DBB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14.5%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311AA" w14:textId="77777777" w:rsidR="005F6DBB" w:rsidRPr="002740DB" w:rsidRDefault="005F6DBB" w:rsidP="005F6DBB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>Bad</w:t>
            </w:r>
          </w:p>
          <w:p w14:paraId="5CB9A011" w14:textId="77777777" w:rsidR="005F6DBB" w:rsidRPr="002740DB" w:rsidRDefault="005F6DBB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2.7%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E88F0" w14:textId="77777777" w:rsidR="005F6DBB" w:rsidRPr="002740DB" w:rsidRDefault="005F6DBB" w:rsidP="005F6DBB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>Very Bad</w:t>
            </w:r>
          </w:p>
          <w:p w14:paraId="72183414" w14:textId="77777777" w:rsidR="005F6DBB" w:rsidRPr="002740DB" w:rsidRDefault="005F6DBB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>0.8%</w:t>
            </w:r>
          </w:p>
        </w:tc>
      </w:tr>
      <w:tr w:rsidR="002740DB" w:rsidRPr="002740DB" w14:paraId="3C4883D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53197" w14:textId="77777777" w:rsidR="001569F9" w:rsidRPr="002740DB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784C235A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</w:t>
            </w:r>
            <w:r w:rsidR="009A59D3" w:rsidRPr="002740DB">
              <w:rPr>
                <w:sz w:val="18"/>
                <w:szCs w:val="18"/>
              </w:rPr>
              <w:t xml:space="preserve"> </w:t>
            </w:r>
            <w:r w:rsidRPr="002740DB">
              <w:rPr>
                <w:sz w:val="18"/>
                <w:szCs w:val="18"/>
              </w:rPr>
              <w:t>47.9%</w:t>
            </w:r>
          </w:p>
          <w:p w14:paraId="1BF52810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England Avg = 47.2%</w:t>
            </w:r>
          </w:p>
          <w:p w14:paraId="270EA4BD" w14:textId="77777777" w:rsidR="001569F9" w:rsidRPr="002740DB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29F9A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35.3%</w:t>
            </w:r>
          </w:p>
          <w:p w14:paraId="6641D8F2" w14:textId="77777777" w:rsidR="001569F9" w:rsidRPr="002740DB" w:rsidRDefault="001569F9" w:rsidP="00DB2981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C9B74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12.8%</w:t>
            </w:r>
          </w:p>
          <w:p w14:paraId="555454F5" w14:textId="77777777" w:rsidR="001569F9" w:rsidRPr="002740DB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2740DB">
              <w:rPr>
                <w:sz w:val="18"/>
                <w:szCs w:val="18"/>
              </w:rPr>
              <w:t>England Avg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C0E1A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3.1%</w:t>
            </w:r>
          </w:p>
          <w:p w14:paraId="43C5BFC8" w14:textId="77777777" w:rsidR="001569F9" w:rsidRPr="002740DB" w:rsidRDefault="001569F9" w:rsidP="00DB2981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B2850" w14:textId="77777777" w:rsidR="001569F9" w:rsidRPr="002740DB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0.8%</w:t>
            </w:r>
          </w:p>
          <w:p w14:paraId="08263193" w14:textId="77777777" w:rsidR="001569F9" w:rsidRPr="002740DB" w:rsidRDefault="001569F9" w:rsidP="00DB2981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1.0%</w:t>
            </w:r>
          </w:p>
        </w:tc>
      </w:tr>
    </w:tbl>
    <w:p w14:paraId="44F65B65" w14:textId="77777777" w:rsidR="001569F9" w:rsidRPr="002740DB" w:rsidRDefault="001569F9" w:rsidP="00EB44C0">
      <w:pPr>
        <w:pStyle w:val="NoSpacing"/>
        <w:jc w:val="center"/>
        <w:rPr>
          <w:sz w:val="8"/>
          <w:szCs w:val="8"/>
        </w:rPr>
      </w:pPr>
    </w:p>
    <w:p w14:paraId="3A1D0370" w14:textId="77777777" w:rsidR="001569F9" w:rsidRPr="002740DB" w:rsidRDefault="001569F9" w:rsidP="001569F9">
      <w:pPr>
        <w:pStyle w:val="NoSpacing"/>
        <w:jc w:val="center"/>
        <w:rPr>
          <w:sz w:val="18"/>
          <w:szCs w:val="18"/>
        </w:rPr>
      </w:pPr>
      <w:r w:rsidRPr="002740DB">
        <w:rPr>
          <w:sz w:val="18"/>
          <w:szCs w:val="18"/>
        </w:rPr>
        <w:t>[Source: ONS 2011 Census: QS302EW]</w:t>
      </w:r>
    </w:p>
    <w:p w14:paraId="0619C00D" w14:textId="77777777" w:rsidR="001569F9" w:rsidRPr="002740DB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40DB" w:rsidRPr="002740DB" w14:paraId="00FF6BFB" w14:textId="77777777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4E95677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6"/>
                <w:szCs w:val="6"/>
              </w:rPr>
            </w:pPr>
          </w:p>
          <w:p w14:paraId="26A6DF5C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Total # Occupied</w:t>
            </w:r>
          </w:p>
          <w:p w14:paraId="6AD394E0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Households</w:t>
            </w:r>
          </w:p>
          <w:p w14:paraId="52034804" w14:textId="77777777" w:rsidR="00F450B5" w:rsidRPr="002740DB" w:rsidRDefault="00F450B5" w:rsidP="005F6DBB">
            <w:pPr>
              <w:pStyle w:val="NoSpacing"/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EE97FE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 xml:space="preserve">Owned </w:t>
            </w:r>
            <w:r w:rsidRPr="002740DB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49E39B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Share</w:t>
            </w:r>
            <w:r w:rsidR="005F6DBB" w:rsidRPr="002740DB">
              <w:rPr>
                <w:b/>
                <w:sz w:val="32"/>
                <w:szCs w:val="32"/>
              </w:rPr>
              <w:t>d</w:t>
            </w:r>
            <w:r w:rsidRPr="002740DB">
              <w:rPr>
                <w:b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DA693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Socially</w:t>
            </w:r>
          </w:p>
          <w:p w14:paraId="1FDC1338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DA1F90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Privately</w:t>
            </w:r>
          </w:p>
          <w:p w14:paraId="42F9B772" w14:textId="77777777" w:rsidR="00F450B5" w:rsidRPr="002740DB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740DB">
              <w:rPr>
                <w:b/>
                <w:sz w:val="32"/>
                <w:szCs w:val="32"/>
              </w:rPr>
              <w:t>Rented</w:t>
            </w:r>
          </w:p>
        </w:tc>
      </w:tr>
      <w:tr w:rsidR="002740DB" w:rsidRPr="002740DB" w14:paraId="5565F13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1DE2E4F" w14:textId="77777777" w:rsidR="005F6DBB" w:rsidRPr="002740DB" w:rsidRDefault="005F6DBB" w:rsidP="00401B84">
            <w:pPr>
              <w:pStyle w:val="NoSpacing"/>
              <w:jc w:val="center"/>
              <w:rPr>
                <w:sz w:val="36"/>
                <w:szCs w:val="36"/>
              </w:rPr>
            </w:pPr>
            <w:r w:rsidRPr="002740DB">
              <w:rPr>
                <w:b/>
                <w:sz w:val="36"/>
                <w:szCs w:val="36"/>
              </w:rPr>
              <w:t>922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A37A66" w14:textId="77777777" w:rsidR="005F6DBB" w:rsidRPr="002740DB" w:rsidRDefault="005F6DBB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19B56FF" w14:textId="77777777" w:rsidR="005F6DBB" w:rsidRPr="002740DB" w:rsidRDefault="005F6DBB" w:rsidP="00401B84">
            <w:pPr>
              <w:pStyle w:val="NoSpacing"/>
              <w:jc w:val="center"/>
              <w:rPr>
                <w:sz w:val="26"/>
                <w:szCs w:val="26"/>
              </w:rPr>
            </w:pPr>
            <w:r w:rsidRPr="002740DB">
              <w:rPr>
                <w:b/>
                <w:sz w:val="26"/>
                <w:szCs w:val="26"/>
              </w:rPr>
              <w:t xml:space="preserve">748 </w:t>
            </w:r>
            <w:r w:rsidRPr="002740DB">
              <w:rPr>
                <w:sz w:val="26"/>
                <w:szCs w:val="26"/>
              </w:rPr>
              <w:t>(81.1%)</w:t>
            </w:r>
          </w:p>
          <w:p w14:paraId="4F655A77" w14:textId="77777777" w:rsidR="005F6DBB" w:rsidRPr="002740DB" w:rsidRDefault="005F6DBB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4C5B4C" w14:textId="77777777" w:rsidR="005F6DBB" w:rsidRPr="002740DB" w:rsidRDefault="005F6DBB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26"/>
                <w:szCs w:val="26"/>
              </w:rPr>
              <w:t xml:space="preserve">3 </w:t>
            </w:r>
            <w:r w:rsidRPr="002740DB">
              <w:rPr>
                <w:sz w:val="26"/>
                <w:szCs w:val="26"/>
              </w:rPr>
              <w:t>(0.4%)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576B2B" w14:textId="77777777" w:rsidR="005F6DBB" w:rsidRPr="002740DB" w:rsidRDefault="005F6DBB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26"/>
                <w:szCs w:val="26"/>
              </w:rPr>
              <w:t xml:space="preserve">99 </w:t>
            </w:r>
            <w:r w:rsidRPr="002740DB">
              <w:rPr>
                <w:sz w:val="26"/>
                <w:szCs w:val="26"/>
              </w:rPr>
              <w:t>(10.7%)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B7347F" w14:textId="77777777" w:rsidR="005F6DBB" w:rsidRPr="002740DB" w:rsidRDefault="005F6DBB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26"/>
                <w:szCs w:val="26"/>
              </w:rPr>
              <w:t xml:space="preserve">64 </w:t>
            </w:r>
            <w:r w:rsidRPr="002740DB">
              <w:rPr>
                <w:sz w:val="26"/>
                <w:szCs w:val="26"/>
              </w:rPr>
              <w:t>(6.9%)</w:t>
            </w:r>
          </w:p>
        </w:tc>
      </w:tr>
      <w:tr w:rsidR="002740DB" w:rsidRPr="002740DB" w14:paraId="6C2B674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2E36EDF" w14:textId="77777777" w:rsidR="00F450B5" w:rsidRPr="002740DB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213B14" w14:textId="77777777" w:rsidR="00F450B5" w:rsidRPr="002740DB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75.1%</w:t>
            </w:r>
          </w:p>
          <w:p w14:paraId="57E42E7A" w14:textId="77777777" w:rsidR="00F450B5" w:rsidRPr="002740DB" w:rsidRDefault="00F450B5" w:rsidP="009A35A4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D7F1B5" w14:textId="77777777" w:rsidR="00F450B5" w:rsidRPr="002740DB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260A277" w14:textId="77777777" w:rsidR="00F450B5" w:rsidRPr="002740DB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0.8%</w:t>
            </w:r>
          </w:p>
          <w:p w14:paraId="304596C8" w14:textId="77777777" w:rsidR="00F450B5" w:rsidRPr="002740DB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England Avg = 0.8%</w:t>
            </w:r>
          </w:p>
          <w:p w14:paraId="78B6518B" w14:textId="77777777" w:rsidR="00F450B5" w:rsidRPr="002740DB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632800" w14:textId="77777777" w:rsidR="00F450B5" w:rsidRPr="002740DB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11.3%</w:t>
            </w:r>
          </w:p>
          <w:p w14:paraId="48024E0F" w14:textId="77777777" w:rsidR="00F450B5" w:rsidRPr="002740DB" w:rsidRDefault="00F450B5" w:rsidP="009A35A4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7968EC" w14:textId="77777777" w:rsidR="00F450B5" w:rsidRPr="002740DB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11.2%</w:t>
            </w:r>
          </w:p>
          <w:p w14:paraId="1BBAE68D" w14:textId="77777777" w:rsidR="00F450B5" w:rsidRPr="002740DB" w:rsidRDefault="00F450B5" w:rsidP="009A35A4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>England Avg = 16.8%</w:t>
            </w:r>
          </w:p>
        </w:tc>
      </w:tr>
    </w:tbl>
    <w:p w14:paraId="582596CF" w14:textId="77777777" w:rsidR="00F450B5" w:rsidRPr="002740DB" w:rsidRDefault="00F450B5" w:rsidP="00371667">
      <w:pPr>
        <w:pStyle w:val="NoSpacing"/>
        <w:jc w:val="center"/>
        <w:rPr>
          <w:sz w:val="8"/>
          <w:szCs w:val="8"/>
        </w:rPr>
      </w:pPr>
    </w:p>
    <w:p w14:paraId="35176DD3" w14:textId="77777777" w:rsidR="00E4709D" w:rsidRPr="002740DB" w:rsidRDefault="00371667" w:rsidP="00371667">
      <w:pPr>
        <w:pStyle w:val="NoSpacing"/>
        <w:jc w:val="center"/>
        <w:rPr>
          <w:sz w:val="18"/>
          <w:szCs w:val="18"/>
        </w:rPr>
      </w:pPr>
      <w:r w:rsidRPr="002740DB">
        <w:rPr>
          <w:sz w:val="18"/>
          <w:szCs w:val="18"/>
        </w:rPr>
        <w:t>[Source: ONS 2011 Census</w:t>
      </w:r>
      <w:r w:rsidR="00247F05" w:rsidRPr="002740DB">
        <w:rPr>
          <w:sz w:val="18"/>
          <w:szCs w:val="18"/>
        </w:rPr>
        <w:t xml:space="preserve">: </w:t>
      </w:r>
      <w:r w:rsidR="00DC768D" w:rsidRPr="002740DB">
        <w:rPr>
          <w:sz w:val="18"/>
          <w:szCs w:val="18"/>
        </w:rPr>
        <w:t>QS405EW</w:t>
      </w:r>
      <w:r w:rsidR="00511F2D" w:rsidRPr="002740DB">
        <w:rPr>
          <w:sz w:val="18"/>
          <w:szCs w:val="18"/>
        </w:rPr>
        <w:t>]</w:t>
      </w:r>
    </w:p>
    <w:p w14:paraId="5EDCFD56" w14:textId="77777777" w:rsidR="00461BCD" w:rsidRPr="002740D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2740DB">
        <w:rPr>
          <w:sz w:val="24"/>
          <w:szCs w:val="24"/>
        </w:rPr>
        <w:t xml:space="preserve">At the </w:t>
      </w:r>
      <w:r w:rsidR="00B310B5" w:rsidRPr="002740DB">
        <w:rPr>
          <w:sz w:val="24"/>
          <w:szCs w:val="24"/>
        </w:rPr>
        <w:t>time of the 2011 Census some 25 dwellings (2.6% of all dwellings</w:t>
      </w:r>
      <w:r w:rsidR="002740DB" w:rsidRPr="002740DB">
        <w:rPr>
          <w:sz w:val="24"/>
          <w:szCs w:val="24"/>
        </w:rPr>
        <w:t xml:space="preserve"> in Claydon</w:t>
      </w:r>
      <w:r w:rsidR="00B310B5" w:rsidRPr="002740DB">
        <w:rPr>
          <w:sz w:val="24"/>
          <w:szCs w:val="24"/>
        </w:rPr>
        <w:t>) appeared to be unoccupied. (Mid Suffolk Avg = 3.8%) [QS418EW]</w:t>
      </w:r>
      <w:r w:rsidR="00461BCD" w:rsidRPr="002740DB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40DB" w:rsidRPr="002740DB" w14:paraId="4C96FA4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EEFA33B" w14:textId="77777777" w:rsidR="001A389A" w:rsidRPr="002740DB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2A560A37" w14:textId="77777777" w:rsidR="001A389A" w:rsidRPr="002740DB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Number of Bedrooms</w:t>
            </w:r>
            <w:r w:rsidR="00D30D83" w:rsidRPr="002740DB">
              <w:rPr>
                <w:b/>
                <w:sz w:val="32"/>
                <w:szCs w:val="32"/>
              </w:rPr>
              <w:t xml:space="preserve"> (Occupied Households)</w:t>
            </w:r>
          </w:p>
          <w:p w14:paraId="41D2BC84" w14:textId="77777777" w:rsidR="001A389A" w:rsidRPr="002740DB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2740DB" w:rsidRPr="002740DB" w14:paraId="16C68CC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D60D2" w14:textId="77777777" w:rsidR="002740DB" w:rsidRPr="002740DB" w:rsidRDefault="002740DB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37483401" w14:textId="77777777" w:rsidR="001A389A" w:rsidRPr="002740DB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None</w:t>
            </w:r>
          </w:p>
          <w:p w14:paraId="67FFCA6D" w14:textId="77777777" w:rsidR="00D30D83" w:rsidRPr="002740DB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59D0D" w14:textId="77777777" w:rsidR="001A389A" w:rsidRPr="002740DB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6D351" w14:textId="77777777" w:rsidR="001A389A" w:rsidRPr="002740DB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58ADD" w14:textId="77777777" w:rsidR="001A389A" w:rsidRPr="002740DB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D2238" w14:textId="77777777" w:rsidR="001A389A" w:rsidRPr="002740DB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2740DB" w:rsidRPr="002740DB" w14:paraId="7386B0B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42867" w14:textId="77777777" w:rsidR="008E3B26" w:rsidRPr="002740DB" w:rsidRDefault="008E3B26" w:rsidP="008E3B26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525EDD65" w14:textId="77777777" w:rsidR="008E3B26" w:rsidRDefault="008E3B26" w:rsidP="00401B84">
            <w:pPr>
              <w:jc w:val="center"/>
              <w:rPr>
                <w:b/>
                <w:sz w:val="26"/>
                <w:szCs w:val="26"/>
              </w:rPr>
            </w:pPr>
            <w:r w:rsidRPr="002740DB">
              <w:rPr>
                <w:b/>
                <w:sz w:val="26"/>
                <w:szCs w:val="26"/>
              </w:rPr>
              <w:t xml:space="preserve">0 </w:t>
            </w:r>
            <w:r w:rsidRPr="002740DB">
              <w:rPr>
                <w:sz w:val="26"/>
                <w:szCs w:val="26"/>
              </w:rPr>
              <w:t>(0%)</w:t>
            </w:r>
          </w:p>
          <w:p w14:paraId="1C604DB3" w14:textId="77777777" w:rsidR="002740DB" w:rsidRPr="002740DB" w:rsidRDefault="002740DB" w:rsidP="00401B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195FC" w14:textId="77777777" w:rsidR="008E3B26" w:rsidRPr="002740DB" w:rsidRDefault="008E3B26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 xml:space="preserve">74 </w:t>
            </w:r>
            <w:r w:rsidRPr="002740DB">
              <w:rPr>
                <w:sz w:val="26"/>
                <w:szCs w:val="26"/>
              </w:rPr>
              <w:t>(8.0%)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A2BD" w14:textId="77777777" w:rsidR="008E3B26" w:rsidRPr="002740DB" w:rsidRDefault="008E3B26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 xml:space="preserve">254 </w:t>
            </w:r>
            <w:r w:rsidRPr="002740DB">
              <w:rPr>
                <w:sz w:val="26"/>
                <w:szCs w:val="26"/>
              </w:rPr>
              <w:t>(27.6%)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6FD5C" w14:textId="77777777" w:rsidR="008E3B26" w:rsidRPr="002740DB" w:rsidRDefault="008E3B26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 xml:space="preserve">383 </w:t>
            </w:r>
            <w:r w:rsidRPr="002740DB">
              <w:rPr>
                <w:sz w:val="26"/>
                <w:szCs w:val="26"/>
              </w:rPr>
              <w:t>(41.5%)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27DF4" w14:textId="77777777" w:rsidR="008E3B26" w:rsidRPr="002740DB" w:rsidRDefault="008E3B26" w:rsidP="00401B84">
            <w:pPr>
              <w:jc w:val="center"/>
              <w:rPr>
                <w:b/>
                <w:sz w:val="28"/>
                <w:szCs w:val="28"/>
              </w:rPr>
            </w:pPr>
            <w:r w:rsidRPr="002740DB">
              <w:rPr>
                <w:b/>
                <w:sz w:val="26"/>
                <w:szCs w:val="26"/>
              </w:rPr>
              <w:t xml:space="preserve">211 </w:t>
            </w:r>
            <w:r w:rsidRPr="002740DB">
              <w:rPr>
                <w:sz w:val="26"/>
                <w:szCs w:val="26"/>
              </w:rPr>
              <w:t>(22.9%)</w:t>
            </w:r>
          </w:p>
        </w:tc>
      </w:tr>
      <w:tr w:rsidR="002740DB" w:rsidRPr="002740DB" w14:paraId="5496EEE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6235E" w14:textId="77777777" w:rsidR="001A389A" w:rsidRPr="002740DB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4F77A54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Mid Sflk Avg = </w:t>
            </w:r>
            <w:r w:rsidR="00D30D83" w:rsidRPr="002740DB">
              <w:rPr>
                <w:sz w:val="18"/>
                <w:szCs w:val="18"/>
              </w:rPr>
              <w:t>0.1</w:t>
            </w:r>
            <w:r w:rsidRPr="002740DB">
              <w:rPr>
                <w:sz w:val="18"/>
                <w:szCs w:val="18"/>
              </w:rPr>
              <w:t>%</w:t>
            </w:r>
          </w:p>
          <w:p w14:paraId="051CD6AA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England Avg = </w:t>
            </w:r>
            <w:r w:rsidR="00D30D83" w:rsidRPr="002740DB">
              <w:rPr>
                <w:sz w:val="18"/>
                <w:szCs w:val="18"/>
              </w:rPr>
              <w:t>0.</w:t>
            </w:r>
            <w:r w:rsidR="00B96FC6" w:rsidRPr="002740DB">
              <w:rPr>
                <w:sz w:val="18"/>
                <w:szCs w:val="18"/>
              </w:rPr>
              <w:t>2</w:t>
            </w:r>
            <w:r w:rsidRPr="002740DB">
              <w:rPr>
                <w:sz w:val="18"/>
                <w:szCs w:val="18"/>
              </w:rPr>
              <w:t>%</w:t>
            </w:r>
          </w:p>
          <w:p w14:paraId="3E63EBAF" w14:textId="77777777" w:rsidR="001A389A" w:rsidRPr="002740DB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56DB2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Mid Sflk Avg = </w:t>
            </w:r>
            <w:r w:rsidR="00B96FC6" w:rsidRPr="002740DB">
              <w:rPr>
                <w:sz w:val="18"/>
                <w:szCs w:val="18"/>
              </w:rPr>
              <w:t>6.0</w:t>
            </w:r>
            <w:r w:rsidRPr="002740DB">
              <w:rPr>
                <w:sz w:val="18"/>
                <w:szCs w:val="18"/>
              </w:rPr>
              <w:t>%</w:t>
            </w:r>
          </w:p>
          <w:p w14:paraId="5A5E0653" w14:textId="77777777" w:rsidR="001A389A" w:rsidRPr="002740DB" w:rsidRDefault="001A389A" w:rsidP="00B96FC6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 xml:space="preserve">England Avg = </w:t>
            </w:r>
            <w:r w:rsidR="00B96FC6" w:rsidRPr="002740DB">
              <w:rPr>
                <w:sz w:val="18"/>
                <w:szCs w:val="18"/>
              </w:rPr>
              <w:t>11.8</w:t>
            </w:r>
            <w:r w:rsidRPr="002740DB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594FD" w14:textId="77777777" w:rsidR="001A389A" w:rsidRPr="002740DB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0D18AE6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Mid Sflk Avg = </w:t>
            </w:r>
            <w:r w:rsidR="00B96FC6" w:rsidRPr="002740DB">
              <w:rPr>
                <w:sz w:val="18"/>
                <w:szCs w:val="18"/>
              </w:rPr>
              <w:t>25.0</w:t>
            </w:r>
            <w:r w:rsidRPr="002740DB">
              <w:rPr>
                <w:sz w:val="18"/>
                <w:szCs w:val="18"/>
              </w:rPr>
              <w:t>%</w:t>
            </w:r>
          </w:p>
          <w:p w14:paraId="51CA5CFD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England Avg = </w:t>
            </w:r>
            <w:r w:rsidR="00B96FC6" w:rsidRPr="002740DB">
              <w:rPr>
                <w:sz w:val="18"/>
                <w:szCs w:val="18"/>
              </w:rPr>
              <w:t>27.9</w:t>
            </w:r>
            <w:r w:rsidRPr="002740DB">
              <w:rPr>
                <w:sz w:val="18"/>
                <w:szCs w:val="18"/>
              </w:rPr>
              <w:t>%</w:t>
            </w:r>
          </w:p>
          <w:p w14:paraId="5B5E4208" w14:textId="77777777" w:rsidR="001A389A" w:rsidRPr="002740DB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80ADE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Mid Sflk Avg = </w:t>
            </w:r>
            <w:r w:rsidR="00B96FC6" w:rsidRPr="002740DB">
              <w:rPr>
                <w:sz w:val="18"/>
                <w:szCs w:val="18"/>
              </w:rPr>
              <w:t>40.4</w:t>
            </w:r>
            <w:r w:rsidRPr="002740DB">
              <w:rPr>
                <w:sz w:val="18"/>
                <w:szCs w:val="18"/>
              </w:rPr>
              <w:t>%</w:t>
            </w:r>
          </w:p>
          <w:p w14:paraId="1765B7F3" w14:textId="77777777" w:rsidR="001A389A" w:rsidRPr="002740DB" w:rsidRDefault="001A389A" w:rsidP="00B96FC6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 xml:space="preserve">England Avg = </w:t>
            </w:r>
            <w:r w:rsidR="00B96FC6" w:rsidRPr="002740DB">
              <w:rPr>
                <w:sz w:val="18"/>
                <w:szCs w:val="18"/>
              </w:rPr>
              <w:t>41.2</w:t>
            </w:r>
            <w:r w:rsidRPr="002740DB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E9BD4" w14:textId="77777777" w:rsidR="001A389A" w:rsidRPr="002740DB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 xml:space="preserve">Mid Sflk Avg = </w:t>
            </w:r>
            <w:r w:rsidR="00B96FC6" w:rsidRPr="002740DB">
              <w:rPr>
                <w:sz w:val="18"/>
                <w:szCs w:val="18"/>
              </w:rPr>
              <w:t>28.5</w:t>
            </w:r>
            <w:r w:rsidRPr="002740DB">
              <w:rPr>
                <w:sz w:val="18"/>
                <w:szCs w:val="18"/>
              </w:rPr>
              <w:t>%</w:t>
            </w:r>
          </w:p>
          <w:p w14:paraId="46BCD07C" w14:textId="77777777" w:rsidR="001A389A" w:rsidRPr="002740DB" w:rsidRDefault="001A389A" w:rsidP="00B96FC6">
            <w:pPr>
              <w:pStyle w:val="NoSpacing"/>
              <w:jc w:val="center"/>
            </w:pPr>
            <w:r w:rsidRPr="002740DB">
              <w:rPr>
                <w:sz w:val="18"/>
                <w:szCs w:val="18"/>
              </w:rPr>
              <w:t xml:space="preserve">England Avg = </w:t>
            </w:r>
            <w:r w:rsidR="00B96FC6" w:rsidRPr="002740DB">
              <w:rPr>
                <w:sz w:val="18"/>
                <w:szCs w:val="18"/>
              </w:rPr>
              <w:t>18.9</w:t>
            </w:r>
            <w:r w:rsidRPr="002740DB">
              <w:rPr>
                <w:sz w:val="18"/>
                <w:szCs w:val="18"/>
              </w:rPr>
              <w:t>%</w:t>
            </w:r>
          </w:p>
        </w:tc>
      </w:tr>
    </w:tbl>
    <w:p w14:paraId="3D58D7AF" w14:textId="77777777" w:rsidR="00FB2797" w:rsidRPr="002740DB" w:rsidRDefault="00FB2797" w:rsidP="00371667">
      <w:pPr>
        <w:pStyle w:val="NoSpacing"/>
        <w:jc w:val="center"/>
        <w:rPr>
          <w:sz w:val="8"/>
          <w:szCs w:val="8"/>
        </w:rPr>
      </w:pPr>
    </w:p>
    <w:p w14:paraId="14572965" w14:textId="77777777" w:rsidR="001A389A" w:rsidRPr="002740DB" w:rsidRDefault="001A389A" w:rsidP="001A389A">
      <w:pPr>
        <w:pStyle w:val="NoSpacing"/>
        <w:jc w:val="center"/>
        <w:rPr>
          <w:sz w:val="18"/>
          <w:szCs w:val="18"/>
        </w:rPr>
      </w:pPr>
      <w:r w:rsidRPr="002740DB">
        <w:rPr>
          <w:sz w:val="18"/>
          <w:szCs w:val="18"/>
        </w:rPr>
        <w:t>[Source: ONS 2011 Census: QS411EW]</w:t>
      </w:r>
    </w:p>
    <w:p w14:paraId="6EDBD2D8" w14:textId="77777777" w:rsidR="0016055B" w:rsidRPr="002740DB" w:rsidRDefault="0016055B" w:rsidP="001A389A">
      <w:pPr>
        <w:pStyle w:val="NoSpacing"/>
      </w:pPr>
    </w:p>
    <w:p w14:paraId="0234896E" w14:textId="77777777" w:rsidR="001A389A" w:rsidRPr="002740DB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740DB" w:rsidRPr="002740DB" w14:paraId="70B53D0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8F63C" w14:textId="77777777" w:rsidR="00C01ED3" w:rsidRPr="002740DB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55B3B43" w14:textId="77777777" w:rsidR="00C01ED3" w:rsidRPr="002740DB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 xml:space="preserve">Total # </w:t>
            </w:r>
            <w:r w:rsidR="00E10F1B" w:rsidRPr="002740DB">
              <w:rPr>
                <w:b/>
                <w:sz w:val="32"/>
                <w:szCs w:val="32"/>
              </w:rPr>
              <w:t>O</w:t>
            </w:r>
            <w:r w:rsidRPr="002740DB">
              <w:rPr>
                <w:b/>
                <w:sz w:val="32"/>
                <w:szCs w:val="32"/>
              </w:rPr>
              <w:t>ccupied</w:t>
            </w:r>
          </w:p>
          <w:p w14:paraId="17FD2D31" w14:textId="77777777" w:rsidR="00C01ED3" w:rsidRPr="002740DB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>Households</w:t>
            </w:r>
          </w:p>
          <w:p w14:paraId="66BB7EF3" w14:textId="77777777" w:rsidR="00C01ED3" w:rsidRPr="002740DB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21B6D" w14:textId="77777777" w:rsidR="00C01ED3" w:rsidRPr="002740DB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5E2F4B2" w14:textId="77777777" w:rsidR="00C01ED3" w:rsidRPr="002740DB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 xml:space="preserve">Total # with </w:t>
            </w:r>
            <w:r w:rsidR="00E10F1B" w:rsidRPr="002740DB">
              <w:rPr>
                <w:b/>
                <w:sz w:val="32"/>
                <w:szCs w:val="32"/>
              </w:rPr>
              <w:t>U</w:t>
            </w:r>
            <w:r w:rsidRPr="002740DB">
              <w:rPr>
                <w:b/>
                <w:sz w:val="32"/>
                <w:szCs w:val="32"/>
              </w:rPr>
              <w:t>nder-</w:t>
            </w:r>
            <w:r w:rsidR="00E10F1B" w:rsidRPr="002740DB">
              <w:rPr>
                <w:b/>
                <w:sz w:val="32"/>
                <w:szCs w:val="32"/>
              </w:rPr>
              <w:t>O</w:t>
            </w:r>
            <w:r w:rsidRPr="002740DB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2312C" w14:textId="77777777" w:rsidR="00C01ED3" w:rsidRPr="002740DB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2740DB">
              <w:rPr>
                <w:b/>
                <w:sz w:val="32"/>
                <w:szCs w:val="32"/>
              </w:rPr>
              <w:t xml:space="preserve">Total # with </w:t>
            </w:r>
            <w:r w:rsidR="00E10F1B" w:rsidRPr="002740DB">
              <w:rPr>
                <w:b/>
                <w:sz w:val="32"/>
                <w:szCs w:val="32"/>
              </w:rPr>
              <w:t>O</w:t>
            </w:r>
            <w:r w:rsidRPr="002740DB">
              <w:rPr>
                <w:b/>
                <w:sz w:val="32"/>
                <w:szCs w:val="32"/>
              </w:rPr>
              <w:t>ver-</w:t>
            </w:r>
            <w:r w:rsidR="00E10F1B" w:rsidRPr="002740DB">
              <w:rPr>
                <w:b/>
                <w:sz w:val="32"/>
                <w:szCs w:val="32"/>
              </w:rPr>
              <w:t>O</w:t>
            </w:r>
            <w:r w:rsidRPr="002740DB">
              <w:rPr>
                <w:b/>
                <w:sz w:val="32"/>
                <w:szCs w:val="32"/>
              </w:rPr>
              <w:t>ccupied bedrooms</w:t>
            </w:r>
          </w:p>
        </w:tc>
      </w:tr>
      <w:tr w:rsidR="002740DB" w:rsidRPr="002740DB" w14:paraId="3ED255D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3F2F96D" w14:textId="77777777" w:rsidR="00B310B5" w:rsidRPr="002740DB" w:rsidRDefault="00B310B5" w:rsidP="00401B8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740DB">
              <w:rPr>
                <w:b/>
                <w:sz w:val="36"/>
                <w:szCs w:val="36"/>
              </w:rPr>
              <w:t>922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B57BA51" w14:textId="77777777" w:rsidR="00B310B5" w:rsidRPr="002740DB" w:rsidRDefault="00B310B5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F9388AB" w14:textId="77777777" w:rsidR="00B310B5" w:rsidRPr="002740DB" w:rsidRDefault="00B310B5" w:rsidP="00401B84">
            <w:pPr>
              <w:pStyle w:val="NoSpacing"/>
              <w:jc w:val="center"/>
              <w:rPr>
                <w:sz w:val="28"/>
                <w:szCs w:val="28"/>
              </w:rPr>
            </w:pPr>
            <w:r w:rsidRPr="002740DB">
              <w:rPr>
                <w:b/>
                <w:sz w:val="28"/>
                <w:szCs w:val="28"/>
              </w:rPr>
              <w:t xml:space="preserve">728 </w:t>
            </w:r>
            <w:r w:rsidRPr="002740DB">
              <w:rPr>
                <w:sz w:val="28"/>
                <w:szCs w:val="28"/>
              </w:rPr>
              <w:t>(84.7%)</w:t>
            </w:r>
          </w:p>
          <w:p w14:paraId="59EF00C1" w14:textId="77777777" w:rsidR="002740DB" w:rsidRPr="002740DB" w:rsidRDefault="002740DB" w:rsidP="00401B8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0FCD709" w14:textId="77777777" w:rsidR="00B310B5" w:rsidRPr="002740DB" w:rsidRDefault="00B310B5" w:rsidP="00401B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40DB">
              <w:rPr>
                <w:b/>
                <w:sz w:val="28"/>
                <w:szCs w:val="28"/>
              </w:rPr>
              <w:t xml:space="preserve">14 </w:t>
            </w:r>
            <w:r w:rsidRPr="002740DB">
              <w:rPr>
                <w:sz w:val="28"/>
                <w:szCs w:val="28"/>
              </w:rPr>
              <w:t>(1.5%)</w:t>
            </w:r>
          </w:p>
        </w:tc>
      </w:tr>
      <w:tr w:rsidR="002740DB" w:rsidRPr="002740DB" w14:paraId="17B8B8E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6336C86" w14:textId="77777777" w:rsidR="00A74DFA" w:rsidRPr="002740DB" w:rsidRDefault="00A74DFA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DD72799" w14:textId="77777777" w:rsidR="00A74DFA" w:rsidRPr="002740DB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216E708" w14:textId="77777777" w:rsidR="00A74DFA" w:rsidRPr="002740DB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80.8% / England Avg = 68.7%</w:t>
            </w:r>
          </w:p>
          <w:p w14:paraId="23A9FE91" w14:textId="77777777" w:rsidR="00A74DFA" w:rsidRPr="002740DB" w:rsidRDefault="00A74DFA" w:rsidP="002740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B97C04A" w14:textId="77777777" w:rsidR="00A74DFA" w:rsidRPr="002740DB" w:rsidRDefault="00A74DFA" w:rsidP="00A74DF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740DB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2499CCC9" w14:textId="77777777" w:rsidR="00C01ED3" w:rsidRPr="002740DB" w:rsidRDefault="00C01ED3" w:rsidP="00EB44C0">
      <w:pPr>
        <w:pStyle w:val="NoSpacing"/>
        <w:jc w:val="center"/>
        <w:rPr>
          <w:sz w:val="8"/>
          <w:szCs w:val="8"/>
        </w:rPr>
      </w:pPr>
    </w:p>
    <w:p w14:paraId="3B51F936" w14:textId="77777777" w:rsidR="00C01ED3" w:rsidRPr="002740DB" w:rsidRDefault="00C01ED3" w:rsidP="00C01ED3">
      <w:pPr>
        <w:pStyle w:val="NoSpacing"/>
        <w:jc w:val="center"/>
        <w:rPr>
          <w:sz w:val="18"/>
          <w:szCs w:val="18"/>
        </w:rPr>
      </w:pPr>
      <w:r w:rsidRPr="002740DB">
        <w:rPr>
          <w:sz w:val="18"/>
          <w:szCs w:val="18"/>
        </w:rPr>
        <w:t>[Source: ONS 2011 Census</w:t>
      </w:r>
      <w:r w:rsidR="00247F05" w:rsidRPr="002740DB">
        <w:rPr>
          <w:sz w:val="18"/>
          <w:szCs w:val="18"/>
        </w:rPr>
        <w:t>:</w:t>
      </w:r>
      <w:r w:rsidRPr="002740DB">
        <w:rPr>
          <w:sz w:val="18"/>
          <w:szCs w:val="18"/>
        </w:rPr>
        <w:t xml:space="preserve"> QS4</w:t>
      </w:r>
      <w:r w:rsidR="00E10F1B" w:rsidRPr="002740DB">
        <w:rPr>
          <w:sz w:val="18"/>
          <w:szCs w:val="18"/>
        </w:rPr>
        <w:t>12</w:t>
      </w:r>
      <w:r w:rsidRPr="002740DB">
        <w:rPr>
          <w:sz w:val="18"/>
          <w:szCs w:val="18"/>
        </w:rPr>
        <w:t>EW]</w:t>
      </w:r>
    </w:p>
    <w:p w14:paraId="52D25D50" w14:textId="77777777" w:rsidR="001A389A" w:rsidRPr="00BA2895" w:rsidRDefault="001A389A" w:rsidP="001A389A">
      <w:pPr>
        <w:pStyle w:val="NoSpacing"/>
        <w:jc w:val="center"/>
      </w:pPr>
    </w:p>
    <w:p w14:paraId="6B52B7F4" w14:textId="77777777" w:rsidR="001A389A" w:rsidRPr="00BA2895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895" w:rsidRPr="00BA2895" w14:paraId="30656B3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F67E913" w14:textId="77777777" w:rsidR="001A389A" w:rsidRPr="00BA2895" w:rsidRDefault="005E3FE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BA2895">
              <w:rPr>
                <w:b/>
                <w:sz w:val="32"/>
                <w:szCs w:val="32"/>
              </w:rPr>
              <w:t xml:space="preserve">NET NEW RESIDENTIAL COMPLETIONS </w:t>
            </w:r>
            <w:r w:rsidRPr="00BA2895">
              <w:rPr>
                <w:sz w:val="24"/>
                <w:szCs w:val="24"/>
              </w:rPr>
              <w:t>(Last 5 Years: April to March)</w:t>
            </w:r>
          </w:p>
        </w:tc>
      </w:tr>
      <w:tr w:rsidR="008D631E" w:rsidRPr="00BA2895" w14:paraId="3BCC21F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CF4412" w14:textId="44AE4873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BA2895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7342A0" w14:textId="6D1E42DC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BA2895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CFD709" w14:textId="1CA5EC46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791EC1" w14:textId="21FB05EF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9DAB95" w14:textId="3B23D17D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2017/18</w:t>
            </w:r>
          </w:p>
        </w:tc>
      </w:tr>
      <w:tr w:rsidR="008D631E" w:rsidRPr="00BA2895" w14:paraId="1BC1EB4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3FA201" w14:textId="3CF7DF05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BA289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6B1D1" w14:textId="0C338847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BA2895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507445" w14:textId="68288625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8950A3" w14:textId="75AF1C32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E74153" w14:textId="59D99370" w:rsidR="008D631E" w:rsidRPr="00BA2895" w:rsidRDefault="008D631E" w:rsidP="008D631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796B4892" w14:textId="77777777" w:rsidR="001A389A" w:rsidRPr="00BA2895" w:rsidRDefault="001A389A" w:rsidP="001A389A">
      <w:pPr>
        <w:pStyle w:val="NoSpacing"/>
        <w:jc w:val="center"/>
        <w:rPr>
          <w:sz w:val="8"/>
          <w:szCs w:val="8"/>
        </w:rPr>
      </w:pPr>
    </w:p>
    <w:p w14:paraId="23CC0413" w14:textId="77777777" w:rsidR="001A389A" w:rsidRPr="00BA2895" w:rsidRDefault="001A389A" w:rsidP="001A389A">
      <w:pPr>
        <w:pStyle w:val="NoSpacing"/>
        <w:jc w:val="center"/>
        <w:rPr>
          <w:sz w:val="18"/>
          <w:szCs w:val="18"/>
        </w:rPr>
      </w:pPr>
      <w:r w:rsidRPr="00BA2895">
        <w:rPr>
          <w:sz w:val="18"/>
          <w:szCs w:val="18"/>
        </w:rPr>
        <w:t>[Source: Babergh &amp; Mid Suffolk Joint Annual Monitoring Report]</w:t>
      </w:r>
    </w:p>
    <w:p w14:paraId="64C50A44" w14:textId="77777777" w:rsidR="001A389A" w:rsidRPr="003F2E5D" w:rsidRDefault="001A389A" w:rsidP="001A389A">
      <w:pPr>
        <w:pStyle w:val="NoSpacing"/>
        <w:jc w:val="center"/>
      </w:pPr>
    </w:p>
    <w:p w14:paraId="7627C9D6" w14:textId="77777777" w:rsidR="001A389A" w:rsidRPr="003F2E5D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F2E5D" w:rsidRPr="003F2E5D" w14:paraId="459E605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F770F99" w14:textId="62EFB93A" w:rsidR="00B310B5" w:rsidRPr="003F2E5D" w:rsidRDefault="004A1322" w:rsidP="003F2E5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F2E5D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3F2E5D">
              <w:rPr>
                <w:rStyle w:val="apple-converted-space"/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 </w:t>
            </w:r>
            <w:r w:rsidRPr="003F2E5D">
              <w:rPr>
                <w:rFonts w:ascii="Arial" w:hAnsi="Arial" w:cs="Arial"/>
                <w:b/>
                <w:sz w:val="26"/>
                <w:szCs w:val="26"/>
              </w:rPr>
              <w:t>in IP6 Postcode (</w:t>
            </w:r>
            <w:r w:rsidR="008D631E">
              <w:rPr>
                <w:rFonts w:ascii="Arial" w:hAnsi="Arial" w:cs="Arial"/>
                <w:b/>
                <w:sz w:val="26"/>
                <w:szCs w:val="26"/>
              </w:rPr>
              <w:t>Aug 2018</w:t>
            </w:r>
            <w:r w:rsidRPr="003F2E5D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3F2E5D" w:rsidRPr="003F2E5D" w14:paraId="6F8DD79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2918A" w14:textId="77777777" w:rsidR="00B310B5" w:rsidRPr="003F2E5D" w:rsidRDefault="00B310B5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65437" w14:textId="77777777" w:rsidR="00B310B5" w:rsidRPr="003F2E5D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9B032" w14:textId="77777777" w:rsidR="00B310B5" w:rsidRPr="003F2E5D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75DC" w14:textId="77777777" w:rsidR="00B310B5" w:rsidRPr="003F2E5D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B50F6" w14:textId="77777777" w:rsidR="00B310B5" w:rsidRPr="003F2E5D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>All</w:t>
            </w:r>
          </w:p>
        </w:tc>
      </w:tr>
      <w:tr w:rsidR="008D631E" w:rsidRPr="003F2E5D" w14:paraId="4E70C59E" w14:textId="77777777" w:rsidTr="004C7FB4">
        <w:trPr>
          <w:trHeight w:val="567"/>
        </w:trPr>
        <w:tc>
          <w:tcPr>
            <w:tcW w:w="1970" w:type="dxa"/>
          </w:tcPr>
          <w:p w14:paraId="2F95919B" w14:textId="6D68BD8F" w:rsidR="008D631E" w:rsidRPr="003F2E5D" w:rsidRDefault="008D631E" w:rsidP="008D63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£350,555 (9)</w:t>
            </w:r>
          </w:p>
        </w:tc>
        <w:tc>
          <w:tcPr>
            <w:tcW w:w="1971" w:type="dxa"/>
          </w:tcPr>
          <w:p w14:paraId="17FFAC9F" w14:textId="663D15A7" w:rsidR="008D631E" w:rsidRPr="003F2E5D" w:rsidRDefault="008D631E" w:rsidP="008D63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£242,699 (10)</w:t>
            </w:r>
          </w:p>
        </w:tc>
        <w:tc>
          <w:tcPr>
            <w:tcW w:w="1971" w:type="dxa"/>
          </w:tcPr>
          <w:p w14:paraId="468E03E9" w14:textId="50748780" w:rsidR="008D631E" w:rsidRPr="003F2E5D" w:rsidRDefault="008D631E" w:rsidP="008D63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£211,998 (10)</w:t>
            </w:r>
          </w:p>
        </w:tc>
        <w:tc>
          <w:tcPr>
            <w:tcW w:w="1971" w:type="dxa"/>
          </w:tcPr>
          <w:p w14:paraId="5138EBAB" w14:textId="217F1F8E" w:rsidR="008D631E" w:rsidRPr="003F2E5D" w:rsidRDefault="008D631E" w:rsidP="008D63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0FB5D9CA" w14:textId="24EA4D33" w:rsidR="008D631E" w:rsidRPr="003F2E5D" w:rsidRDefault="008D631E" w:rsidP="008D631E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£265.585 (29)</w:t>
            </w:r>
          </w:p>
        </w:tc>
      </w:tr>
    </w:tbl>
    <w:p w14:paraId="575A10D2" w14:textId="77777777" w:rsidR="001A389A" w:rsidRPr="003F2E5D" w:rsidRDefault="001A389A" w:rsidP="001A389A">
      <w:pPr>
        <w:pStyle w:val="NoSpacing"/>
        <w:jc w:val="center"/>
        <w:rPr>
          <w:sz w:val="8"/>
          <w:szCs w:val="8"/>
        </w:rPr>
      </w:pPr>
    </w:p>
    <w:p w14:paraId="35441AA3" w14:textId="77777777" w:rsidR="001A389A" w:rsidRPr="003F2E5D" w:rsidRDefault="001A389A" w:rsidP="001A389A">
      <w:pPr>
        <w:pStyle w:val="NoSpacing"/>
        <w:jc w:val="center"/>
        <w:rPr>
          <w:sz w:val="18"/>
          <w:szCs w:val="18"/>
        </w:rPr>
      </w:pPr>
      <w:r w:rsidRPr="003F2E5D">
        <w:rPr>
          <w:sz w:val="18"/>
          <w:szCs w:val="18"/>
        </w:rPr>
        <w:t>[Source: Right Move website: Market Trends]</w:t>
      </w:r>
    </w:p>
    <w:p w14:paraId="10BEAA99" w14:textId="77777777" w:rsidR="001A389A" w:rsidRPr="003F2E5D" w:rsidRDefault="001A389A" w:rsidP="001A389A">
      <w:pPr>
        <w:pStyle w:val="NoSpacing"/>
        <w:jc w:val="center"/>
      </w:pPr>
    </w:p>
    <w:p w14:paraId="7DA358B7" w14:textId="77777777" w:rsidR="001A389A" w:rsidRPr="003F2E5D" w:rsidRDefault="001A389A" w:rsidP="001A389A">
      <w:pPr>
        <w:pStyle w:val="NoSpacing"/>
        <w:jc w:val="center"/>
      </w:pPr>
    </w:p>
    <w:p w14:paraId="01FBA6FE" w14:textId="77777777" w:rsidR="001A389A" w:rsidRPr="00401B84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E41FDE5" w14:textId="148AC07C" w:rsidR="001A389A" w:rsidRPr="00401B84" w:rsidRDefault="008D631E" w:rsidP="00C01ED3">
      <w:pPr>
        <w:pStyle w:val="NoSpacing"/>
        <w:jc w:val="center"/>
        <w:rPr>
          <w:color w:val="FF0000"/>
          <w:sz w:val="18"/>
          <w:szCs w:val="18"/>
        </w:rPr>
      </w:pPr>
      <w:r w:rsidRPr="008D631E">
        <w:rPr>
          <w:noProof/>
        </w:rPr>
        <w:drawing>
          <wp:inline distT="0" distB="0" distL="0" distR="0" wp14:anchorId="5A90FFE1" wp14:editId="47474A4F">
            <wp:extent cx="6120130" cy="33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06B2" w14:textId="77777777" w:rsidR="00E079B3" w:rsidRPr="00401B84" w:rsidRDefault="00E079B3" w:rsidP="00850208">
      <w:pPr>
        <w:pStyle w:val="NoSpacing"/>
        <w:jc w:val="center"/>
        <w:rPr>
          <w:color w:val="FF0000"/>
        </w:rPr>
      </w:pPr>
    </w:p>
    <w:p w14:paraId="462BB69A" w14:textId="77777777" w:rsidR="00605AFC" w:rsidRPr="00401B84" w:rsidRDefault="00605AFC" w:rsidP="00E4709D">
      <w:pPr>
        <w:pStyle w:val="NoSpacing"/>
        <w:jc w:val="center"/>
        <w:rPr>
          <w:color w:val="FF0000"/>
        </w:rPr>
        <w:sectPr w:rsidR="00605AFC" w:rsidRPr="00401B8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401B84" w14:paraId="0E527765" w14:textId="77777777" w:rsidTr="001E5E12">
        <w:tc>
          <w:tcPr>
            <w:tcW w:w="9854" w:type="dxa"/>
          </w:tcPr>
          <w:p w14:paraId="160906EB" w14:textId="77777777" w:rsidR="001E5E12" w:rsidRPr="003F2E5D" w:rsidRDefault="001E5E12" w:rsidP="00E4709D">
            <w:pPr>
              <w:pStyle w:val="NoSpacing"/>
              <w:jc w:val="center"/>
            </w:pPr>
          </w:p>
          <w:p w14:paraId="735B1818" w14:textId="77777777" w:rsidR="001E5E12" w:rsidRPr="003F2E5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F2E5D">
              <w:rPr>
                <w:b/>
                <w:sz w:val="36"/>
                <w:szCs w:val="36"/>
              </w:rPr>
              <w:t>Other Information</w:t>
            </w:r>
          </w:p>
          <w:p w14:paraId="08B84FCD" w14:textId="77777777" w:rsidR="00545D1D" w:rsidRPr="003F2E5D" w:rsidRDefault="00545D1D" w:rsidP="008E3B26">
            <w:pPr>
              <w:pStyle w:val="NoSpacing"/>
              <w:ind w:right="283"/>
              <w:jc w:val="center"/>
              <w:rPr>
                <w:b/>
                <w:sz w:val="32"/>
                <w:szCs w:val="32"/>
              </w:rPr>
            </w:pPr>
          </w:p>
          <w:p w14:paraId="21DA2159" w14:textId="77777777" w:rsidR="00545D1D" w:rsidRPr="003F2E5D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3F2E5D">
              <w:rPr>
                <w:b/>
                <w:sz w:val="28"/>
                <w:szCs w:val="28"/>
              </w:rPr>
              <w:t xml:space="preserve">County Councillor = </w:t>
            </w:r>
            <w:r w:rsidR="00B310B5" w:rsidRPr="003F2E5D">
              <w:rPr>
                <w:b/>
                <w:sz w:val="28"/>
                <w:szCs w:val="28"/>
              </w:rPr>
              <w:t xml:space="preserve">Cllr John Field </w:t>
            </w:r>
            <w:r w:rsidR="00B310B5" w:rsidRPr="003F2E5D">
              <w:rPr>
                <w:sz w:val="28"/>
                <w:szCs w:val="28"/>
              </w:rPr>
              <w:t>(Gipping Valley Division)</w:t>
            </w:r>
          </w:p>
          <w:p w14:paraId="483E1DD0" w14:textId="77777777" w:rsidR="00545D1D" w:rsidRPr="003F2E5D" w:rsidRDefault="00545D1D" w:rsidP="008E3B26">
            <w:pPr>
              <w:pStyle w:val="NoSpacing"/>
              <w:ind w:right="283"/>
            </w:pPr>
          </w:p>
          <w:p w14:paraId="120A7D2C" w14:textId="629BCFFF" w:rsidR="00545D1D" w:rsidRPr="003F2E5D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</w:pPr>
            <w:r w:rsidRPr="003F2E5D">
              <w:rPr>
                <w:b/>
                <w:sz w:val="28"/>
                <w:szCs w:val="28"/>
              </w:rPr>
              <w:t>District Councillor =</w:t>
            </w:r>
            <w:r w:rsidR="00B310B5" w:rsidRPr="003F2E5D">
              <w:rPr>
                <w:b/>
                <w:sz w:val="28"/>
                <w:szCs w:val="28"/>
              </w:rPr>
              <w:t xml:space="preserve"> Cllr John Whitehead &amp; Cllr </w:t>
            </w:r>
            <w:r w:rsidR="00B031CC">
              <w:rPr>
                <w:b/>
                <w:sz w:val="28"/>
                <w:szCs w:val="28"/>
              </w:rPr>
              <w:t>Timothy Passmore</w:t>
            </w:r>
            <w:r w:rsidR="00B310B5" w:rsidRPr="003F2E5D">
              <w:rPr>
                <w:b/>
                <w:sz w:val="28"/>
                <w:szCs w:val="28"/>
              </w:rPr>
              <w:t xml:space="preserve"> </w:t>
            </w:r>
            <w:r w:rsidR="00B310B5" w:rsidRPr="003F2E5D">
              <w:rPr>
                <w:sz w:val="28"/>
                <w:szCs w:val="28"/>
              </w:rPr>
              <w:t xml:space="preserve">(Claydon &amp; Barham Wards) </w:t>
            </w:r>
          </w:p>
          <w:p w14:paraId="3770B4D6" w14:textId="77777777" w:rsidR="00401B84" w:rsidRPr="003F2E5D" w:rsidRDefault="00401B84" w:rsidP="00401B84">
            <w:pPr>
              <w:pStyle w:val="NoSpacing"/>
              <w:ind w:left="643" w:right="283"/>
              <w:jc w:val="both"/>
            </w:pPr>
          </w:p>
          <w:p w14:paraId="79D643E4" w14:textId="77777777" w:rsidR="00B310B5" w:rsidRPr="003F2E5D" w:rsidRDefault="00B310B5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3F2E5D">
              <w:rPr>
                <w:sz w:val="28"/>
                <w:szCs w:val="28"/>
              </w:rPr>
              <w:t xml:space="preserve">Claydon </w:t>
            </w:r>
            <w:r w:rsidR="00401B84" w:rsidRPr="003F2E5D">
              <w:rPr>
                <w:i/>
                <w:sz w:val="28"/>
                <w:szCs w:val="28"/>
              </w:rPr>
              <w:t>(with part Barham) and Great Blakenham</w:t>
            </w:r>
            <w:r w:rsidR="00401B84" w:rsidRPr="003F2E5D">
              <w:rPr>
                <w:sz w:val="28"/>
                <w:szCs w:val="28"/>
              </w:rPr>
              <w:t xml:space="preserve"> are </w:t>
            </w:r>
            <w:r w:rsidRPr="003F2E5D">
              <w:rPr>
                <w:sz w:val="28"/>
                <w:szCs w:val="28"/>
              </w:rPr>
              <w:t xml:space="preserve">identified as a </w:t>
            </w:r>
            <w:r w:rsidRPr="003F2E5D">
              <w:rPr>
                <w:b/>
                <w:sz w:val="28"/>
                <w:szCs w:val="28"/>
              </w:rPr>
              <w:t>Key Service Centre</w:t>
            </w:r>
            <w:r w:rsidRPr="003F2E5D">
              <w:rPr>
                <w:sz w:val="28"/>
                <w:szCs w:val="28"/>
              </w:rPr>
              <w:t xml:space="preserve"> in Policy CS1 of the Mid Suffolk Core Strategy DPD (Adopted Sept 2008)</w:t>
            </w:r>
          </w:p>
          <w:p w14:paraId="2BF76CFA" w14:textId="77777777" w:rsidR="001E52EF" w:rsidRPr="003F2E5D" w:rsidRDefault="001E52EF" w:rsidP="008E3B26">
            <w:pPr>
              <w:pStyle w:val="NoSpacing"/>
              <w:ind w:right="283"/>
            </w:pPr>
          </w:p>
          <w:p w14:paraId="4E1C8311" w14:textId="77777777" w:rsidR="004A1322" w:rsidRPr="003F2E5D" w:rsidRDefault="00B310B5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3F2E5D">
              <w:rPr>
                <w:sz w:val="28"/>
                <w:szCs w:val="28"/>
              </w:rPr>
              <w:t>Local Services in Claydon include</w:t>
            </w:r>
            <w:r w:rsidR="00075E79" w:rsidRPr="003F2E5D">
              <w:rPr>
                <w:sz w:val="28"/>
                <w:szCs w:val="28"/>
              </w:rPr>
              <w:t xml:space="preserve"> </w:t>
            </w:r>
            <w:r w:rsidR="003F2E5D" w:rsidRPr="003F2E5D">
              <w:rPr>
                <w:sz w:val="28"/>
                <w:szCs w:val="28"/>
              </w:rPr>
              <w:t xml:space="preserve">… Schools, place of Worship, a General / Convenience Store, </w:t>
            </w:r>
            <w:r w:rsidR="00C7151C" w:rsidRPr="003F2E5D">
              <w:rPr>
                <w:sz w:val="28"/>
                <w:szCs w:val="28"/>
              </w:rPr>
              <w:t>local pubs / restaurants</w:t>
            </w:r>
            <w:r w:rsidR="003F2E5D" w:rsidRPr="003F2E5D">
              <w:rPr>
                <w:sz w:val="28"/>
                <w:szCs w:val="28"/>
              </w:rPr>
              <w:t xml:space="preserve"> and a mix of business units</w:t>
            </w:r>
          </w:p>
          <w:p w14:paraId="36DD119F" w14:textId="77777777" w:rsidR="00B310B5" w:rsidRPr="003F2E5D" w:rsidRDefault="00B310B5" w:rsidP="008E3B26">
            <w:pPr>
              <w:pStyle w:val="NoSpacing"/>
              <w:ind w:right="283"/>
              <w:jc w:val="both"/>
              <w:rPr>
                <w:sz w:val="28"/>
                <w:szCs w:val="28"/>
              </w:rPr>
            </w:pPr>
          </w:p>
          <w:p w14:paraId="59F9D08F" w14:textId="77777777" w:rsidR="00B310B5" w:rsidRPr="003F2E5D" w:rsidRDefault="00B310B5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3F2E5D">
              <w:rPr>
                <w:sz w:val="28"/>
                <w:szCs w:val="28"/>
              </w:rPr>
              <w:t xml:space="preserve">84.4% of all households with at least one usual resident in Claydon </w:t>
            </w:r>
            <w:r w:rsidR="00401B84" w:rsidRPr="003F2E5D">
              <w:rPr>
                <w:sz w:val="28"/>
                <w:szCs w:val="28"/>
              </w:rPr>
              <w:t>h</w:t>
            </w:r>
            <w:r w:rsidRPr="003F2E5D">
              <w:rPr>
                <w:sz w:val="28"/>
                <w:szCs w:val="28"/>
              </w:rPr>
              <w:t>ave access to gas-fired central heating [QS415EW]</w:t>
            </w:r>
          </w:p>
          <w:p w14:paraId="5FC2E8F2" w14:textId="77777777" w:rsidR="007B2DE0" w:rsidRPr="003F2E5D" w:rsidRDefault="007B2DE0" w:rsidP="008E3B26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36F7470" w14:textId="77777777" w:rsidR="00B310B5" w:rsidRPr="003F2E5D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3F2E5D">
              <w:rPr>
                <w:sz w:val="28"/>
                <w:szCs w:val="28"/>
              </w:rPr>
              <w:t xml:space="preserve">The following </w:t>
            </w:r>
            <w:r w:rsidR="00247F05" w:rsidRPr="003F2E5D">
              <w:rPr>
                <w:sz w:val="28"/>
                <w:szCs w:val="28"/>
              </w:rPr>
              <w:t>Housing Association</w:t>
            </w:r>
            <w:r w:rsidRPr="003F2E5D">
              <w:rPr>
                <w:sz w:val="28"/>
                <w:szCs w:val="28"/>
              </w:rPr>
              <w:t>’s</w:t>
            </w:r>
            <w:r w:rsidR="00EB44C0" w:rsidRPr="003F2E5D">
              <w:rPr>
                <w:sz w:val="28"/>
                <w:szCs w:val="28"/>
              </w:rPr>
              <w:t xml:space="preserve"> (Registered Provider</w:t>
            </w:r>
            <w:r w:rsidRPr="003F2E5D">
              <w:rPr>
                <w:sz w:val="28"/>
                <w:szCs w:val="28"/>
              </w:rPr>
              <w:t>s</w:t>
            </w:r>
            <w:r w:rsidR="00EB44C0" w:rsidRPr="003F2E5D">
              <w:rPr>
                <w:sz w:val="28"/>
                <w:szCs w:val="28"/>
              </w:rPr>
              <w:t>)</w:t>
            </w:r>
            <w:r w:rsidRPr="003F2E5D">
              <w:rPr>
                <w:sz w:val="28"/>
                <w:szCs w:val="28"/>
              </w:rPr>
              <w:t xml:space="preserve"> are </w:t>
            </w:r>
            <w:r w:rsidR="001C1A7E" w:rsidRPr="003F2E5D">
              <w:rPr>
                <w:sz w:val="28"/>
                <w:szCs w:val="28"/>
              </w:rPr>
              <w:t>kno</w:t>
            </w:r>
            <w:r w:rsidR="00FB2797" w:rsidRPr="003F2E5D">
              <w:rPr>
                <w:sz w:val="28"/>
                <w:szCs w:val="28"/>
              </w:rPr>
              <w:t xml:space="preserve">wn to be active in </w:t>
            </w:r>
            <w:r w:rsidR="00B310B5" w:rsidRPr="003F2E5D">
              <w:rPr>
                <w:sz w:val="28"/>
                <w:szCs w:val="28"/>
              </w:rPr>
              <w:t>Claydon: Flagship</w:t>
            </w:r>
            <w:r w:rsidR="003F2E5D" w:rsidRPr="003F2E5D">
              <w:rPr>
                <w:sz w:val="28"/>
                <w:szCs w:val="28"/>
              </w:rPr>
              <w:t xml:space="preserve"> </w:t>
            </w:r>
            <w:r w:rsidR="00B310B5" w:rsidRPr="003F2E5D">
              <w:rPr>
                <w:sz w:val="28"/>
                <w:szCs w:val="28"/>
              </w:rPr>
              <w:t>&amp; Orwell</w:t>
            </w:r>
          </w:p>
          <w:p w14:paraId="75D2D56F" w14:textId="77777777" w:rsidR="00447AE6" w:rsidRPr="003F2E5D" w:rsidRDefault="00447AE6" w:rsidP="008E3B26">
            <w:pPr>
              <w:pStyle w:val="NoSpacing"/>
              <w:ind w:right="283"/>
            </w:pPr>
          </w:p>
          <w:p w14:paraId="345300FB" w14:textId="77777777" w:rsidR="00447AE6" w:rsidRPr="003F2E5D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3F2E5D">
              <w:rPr>
                <w:sz w:val="28"/>
                <w:szCs w:val="28"/>
              </w:rPr>
              <w:t xml:space="preserve">The </w:t>
            </w:r>
            <w:r w:rsidRPr="003F2E5D">
              <w:rPr>
                <w:b/>
                <w:sz w:val="28"/>
                <w:szCs w:val="28"/>
              </w:rPr>
              <w:t>2014 Suffolk Housing Survey</w:t>
            </w:r>
            <w:r w:rsidRPr="003F2E5D">
              <w:rPr>
                <w:sz w:val="28"/>
                <w:szCs w:val="28"/>
              </w:rPr>
              <w:t xml:space="preserve"> shows that, across Mid Suffolk district:</w:t>
            </w:r>
          </w:p>
          <w:p w14:paraId="6F59682F" w14:textId="77777777" w:rsidR="00447AE6" w:rsidRPr="003F2E5D" w:rsidRDefault="00447AE6" w:rsidP="008E3B26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53FECC75" w14:textId="77777777" w:rsidR="00447AE6" w:rsidRPr="003F2E5D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F2E5D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0F6883B" w14:textId="77777777" w:rsidR="00447AE6" w:rsidRPr="003F2E5D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CD53692" w14:textId="77777777" w:rsidR="00447AE6" w:rsidRPr="003F2E5D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F2E5D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A9B51AF" w14:textId="77777777" w:rsidR="00447AE6" w:rsidRPr="003F2E5D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13998DD4" w14:textId="77777777" w:rsidR="00447AE6" w:rsidRPr="003F2E5D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F2E5D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04E2BD09" w14:textId="77777777" w:rsidR="00447AE6" w:rsidRPr="003F2E5D" w:rsidRDefault="00447AE6" w:rsidP="008E3B26">
            <w:pPr>
              <w:ind w:left="720" w:right="283"/>
              <w:rPr>
                <w:sz w:val="4"/>
                <w:szCs w:val="4"/>
              </w:rPr>
            </w:pPr>
          </w:p>
          <w:p w14:paraId="097AAC88" w14:textId="77777777" w:rsidR="00447AE6" w:rsidRPr="003F2E5D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F2E5D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3F2E5D">
              <w:rPr>
                <w:sz w:val="28"/>
                <w:szCs w:val="28"/>
              </w:rPr>
              <w:t>.</w:t>
            </w:r>
          </w:p>
          <w:p w14:paraId="4239A1F7" w14:textId="77777777" w:rsidR="005F2519" w:rsidRPr="00401B84" w:rsidRDefault="005F2519" w:rsidP="00EC4DD4">
            <w:pPr>
              <w:pStyle w:val="NoSpacing"/>
              <w:rPr>
                <w:color w:val="FF0000"/>
              </w:rPr>
            </w:pPr>
          </w:p>
          <w:p w14:paraId="3807624A" w14:textId="77777777" w:rsidR="001E5E12" w:rsidRPr="00401B84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0CBB0E40" w14:textId="77777777" w:rsidR="001E5E12" w:rsidRPr="00401B84" w:rsidRDefault="001E5E12" w:rsidP="00E4709D">
      <w:pPr>
        <w:pStyle w:val="NoSpacing"/>
        <w:jc w:val="center"/>
        <w:rPr>
          <w:color w:val="FF0000"/>
        </w:rPr>
      </w:pPr>
    </w:p>
    <w:sectPr w:rsidR="001E5E12" w:rsidRPr="00401B84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331A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76D987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12D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1157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5D0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F1A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259103E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77C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B454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6F9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ADC"/>
    <w:rsid w:val="00007D14"/>
    <w:rsid w:val="00075E7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926"/>
    <w:rsid w:val="00207652"/>
    <w:rsid w:val="0022155B"/>
    <w:rsid w:val="00243E5D"/>
    <w:rsid w:val="00247F05"/>
    <w:rsid w:val="002740DB"/>
    <w:rsid w:val="00287049"/>
    <w:rsid w:val="00297842"/>
    <w:rsid w:val="002C3CED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2E5D"/>
    <w:rsid w:val="003F45F9"/>
    <w:rsid w:val="00401B84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7A73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D631E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031CC"/>
    <w:rsid w:val="00B310B5"/>
    <w:rsid w:val="00B75C97"/>
    <w:rsid w:val="00B80E15"/>
    <w:rsid w:val="00B968E4"/>
    <w:rsid w:val="00B96FC6"/>
    <w:rsid w:val="00BA2895"/>
    <w:rsid w:val="00BA5B08"/>
    <w:rsid w:val="00C01ED3"/>
    <w:rsid w:val="00C03DFD"/>
    <w:rsid w:val="00C04700"/>
    <w:rsid w:val="00C641BE"/>
    <w:rsid w:val="00C7151C"/>
    <w:rsid w:val="00CA6500"/>
    <w:rsid w:val="00CA7719"/>
    <w:rsid w:val="00CB400E"/>
    <w:rsid w:val="00CD2F54"/>
    <w:rsid w:val="00CE05F8"/>
    <w:rsid w:val="00D24BF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ADA958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8100-FBFE-44F1-AFE4-A7977399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2019-10-22T09:27:00Z</dcterms:modified>
</cp:coreProperties>
</file>